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5652/QĐ-BYT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số lưu hành trang thiết bị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Cơ sở đề nghị gia hạn số lưu hành nộp hồ sơ tại Bộ Y tế (Vụ Trang thiết bị và Công trình Y tế).</w:t>
      </w:r>
    </w:p>
    <w:p>
      <w:pPr>
        <w:spacing w:after="0" w:before="0" w:lineRule="auto" w:line="276"/>
        <w:jc w:val="both"/>
      </w:pPr>
      <w:r>
        <w:rPr>
          <w:rFonts w:ascii="Times New Roman" w:hAnsi="Times New Roman" w:cs="Times New Roman" w:eastAsia="Times New Roman"/>
          <w:b w:val="false"/>
          <w:sz w:val="26"/>
        </w:rPr>
        <w:t>Bước 2: Khi nhận hồ sơ đầy đủ, hợp lệ, Bộ Y tế cấp cho cơ sở đề nghị gia hạn số lưu hành Phiếu tiếp nhận hồ sơ đề nghị cấp số lưu hành trang thiết bị y tế theo mẫu số 04 quy định tại Phụ lục IV ban hành kèm theo Nghị định số 36/2016/NĐ-CP. Trường hợp không có yêu cầu sửa đổi, bổ sung hồ sơ đăng ký lưu hành, Bộ trưởng Bộ Y tế có trách nhiệm: 
a) Đối với trang thiết bị y tế chưa có quy chuẩn kỹ thuật quốc gia tương ứng: Tổ chức thẩm định để gia hạn số lưu hành trong thời hạn 30 ngày, kể từ ngày ghi trên Phiếu tiếp nhận hồ sơ. Trường hợp không gia hạn số lưu hành phải có văn bản trả lời và nêu rõ lý do;
b) Đối với trang thiết bị y tế có quy chuẩn kỹ thuật quốc gia tương ứng: Tổ chức thẩm định để gia hạn số lưu hành trong thời hạn 10 ngày, kể từ ngày ghi trên Phiếu tiếp nhận hồ sơ. Trường hợp không gia hạn số lưu hành phải có văn bản trả lời và nêu rõ lý do;
Trường hợp hồ sơ đề nghị gia hạn số lưu hành chưa hoàn chỉnh thì Bộ Y tế phải có văn bản thông báo cho cơ sở đề nghị gia hạn số lưu hành để bổ sung, sửa đổi hồ sơ, trong đó phải nêu cụ thể là bổ sung những tài liệu nào, nội dung nào cần sửa đổi trong thời hạn15 ngày làm việc.</w:t>
      </w:r>
    </w:p>
    <w:p>
      <w:pPr>
        <w:spacing w:after="0" w:before="0" w:lineRule="auto" w:line="276"/>
        <w:jc w:val="both"/>
      </w:pPr>
      <w:r>
        <w:rPr>
          <w:rFonts w:ascii="Times New Roman" w:hAnsi="Times New Roman" w:cs="Times New Roman" w:eastAsia="Times New Roman"/>
          <w:b w:val="false"/>
          <w:sz w:val="26"/>
        </w:rPr>
        <w:t xml:space="preserve"> Bước 3: Khi nhận được văn bản yêu cầu bổ sung, sửa đổi hồ sơ đề nghị gia hạn số lưu hành, cơ sở đề nghị phải bổ sung, sửa đổi theo đúng những nội dung đã được ghi trong văn bản và gửi về Bộ Y tế. Ngày tiếp nhận hồ sơ bổ sung, sửa đổi được ghi trên Phiếu tiếp nhận hồ sơ.
</w:t>
      </w:r>
    </w:p>
    <w:p>
      <w:pPr>
        <w:spacing w:after="0" w:before="0" w:lineRule="auto" w:line="276"/>
        <w:jc w:val="both"/>
      </w:pPr>
      <w:r>
        <w:rPr>
          <w:rFonts w:ascii="Times New Roman" w:hAnsi="Times New Roman" w:cs="Times New Roman" w:eastAsia="Times New Roman"/>
          <w:b w:val="false"/>
          <w:sz w:val="26"/>
        </w:rPr>
        <w:t>Sau 60 ngày, kể từ ngày Bộ Y tế có văn bản yêu cầu mà cơ sở không bổ sung, sửa đổi hồ sơ thì phải thực hiện lại từ đầu thủ tục đề nghị gia hạn số lưu hành.</w:t>
      </w:r>
    </w:p>
    <w:p>
      <w:pPr>
        <w:shd w:val="clear" w:color="auto" w:fill="F2F6F9"/>
        <w:spacing w:after="0" w:before="120" w:lineRule="auto" w:line="276"/>
        <w:jc w:val="both"/>
      </w:pPr>
      <w:r>
        <w:rPr>
          <w:rFonts w:ascii="Times New Roman" w:hAnsi="Times New Roman" w:cs="Times New Roman" w:eastAsia="Times New Roman"/>
          <w:b w:val="true"/>
          <w:sz w:val="26"/>
        </w:rPr>
        <w:t>Trường hợp hội đồng thẩm định yêu cầu sửa đổi</w:t>
      </w:r>
    </w:p>
    <w:p>
      <w:pPr>
        <w:spacing w:after="0" w:before="0" w:lineRule="auto" w:line="276"/>
        <w:jc w:val="both"/>
      </w:pPr>
      <w:r>
        <w:rPr>
          <w:rFonts w:ascii="Times New Roman" w:hAnsi="Times New Roman" w:cs="Times New Roman" w:eastAsia="Times New Roman"/>
          <w:b w:val="false"/>
          <w:sz w:val="26"/>
        </w:rPr>
        <w:t>Trường hợp hội đồng thẩm định yêu cầu sửa đổi, bổ sung hồ sơ thì trong thời hạn 10 ngày làm việc, kể từ ngày có biên bản họp hội đồng, Bộ Y tế có văn bản thông báo cho cơ sở đề nghị gia hạn lưu hành để bổ sung hồ sơ. Văn bản thông báo phải nêu cụ thể là bổ sung những tài liệu nào, nội dung nào cần sửa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3000000 Đồng</w:t>
              <w:t xml:space="preserve"> (Phí thẩm định hồ sơ gia hạn số lưu hành trang thiết bị y tế)</w:t>
            </w:r>
          </w:p>
        </w:tc>
        <w:tc>
          <w:p/>
          <w:p>
            <w:pPr>
              <w:spacing w:after="0" w:before="0" w:lineRule="auto" w:line="276"/>
              <w:jc w:val="left"/>
            </w:pPr>
            <w:r>
              <w:rPr>
                <w:rFonts w:ascii="Times New Roman" w:hAnsi="Times New Roman" w:cs="Times New Roman" w:eastAsia="Times New Roman"/>
                <w:b w:val="false"/>
                <w:sz w:val="26"/>
              </w:rPr>
              <w:t>Sau 60 ngày làm việc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3.000.000 Đồng</w:t>
              <w:t xml:space="preserve"> (Phí thẩm định hồ sơ gia hạn số lưu hành trang thiết bị y tế)</w:t>
            </w:r>
          </w:p>
        </w:tc>
        <w:tc>
          <w:p/>
          <w:p>
            <w:pPr>
              <w:spacing w:after="0" w:before="0" w:lineRule="auto" w:line="276"/>
              <w:jc w:val="left"/>
            </w:pPr>
            <w:r>
              <w:rPr>
                <w:rFonts w:ascii="Times New Roman" w:hAnsi="Times New Roman" w:cs="Times New Roman" w:eastAsia="Times New Roman"/>
                <w:b w:val="false"/>
                <w:sz w:val="26"/>
              </w:rPr>
              <w:t>Sau 60 ngày làm việc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3.000.000 Đồng</w:t>
              <w:t xml:space="preserve"> (Phí thẩm định hồ sơ gia hạn số lưu hành trang thiết bị y tế)</w:t>
            </w:r>
          </w:p>
        </w:tc>
        <w:tc>
          <w:p/>
          <w:p>
            <w:pPr>
              <w:spacing w:after="0" w:before="0" w:lineRule="auto" w:line="276"/>
              <w:jc w:val="left"/>
            </w:pPr>
            <w:r>
              <w:rPr>
                <w:rFonts w:ascii="Times New Roman" w:hAnsi="Times New Roman" w:cs="Times New Roman" w:eastAsia="Times New Roman"/>
                <w:b w:val="false"/>
                <w:sz w:val="26"/>
              </w:rPr>
              <w:t>Sau 60 ngày làm việc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 hạn số lưu hành theo mẫu số 06 quy định tại Phụ lục I ban hành kèm theo Nghị định số 36/2016/NĐ-CP;</w:t>
            </w:r>
          </w:p>
        </w:tc>
        <w:tc>
          <w:p/>
          <w:p>
            <w:pPr>
              <w:spacing w:after="0" w:before="0" w:lineRule="auto" w:line="276"/>
              <w:jc w:val="left"/>
            </w:pPr>
            <w:r>
              <w:rPr>
                <w:rFonts w:ascii="Times New Roman" w:hAnsi="Times New Roman" w:cs="Times New Roman" w:eastAsia="Times New Roman"/>
                <w:b w:val="false"/>
                <w:sz w:val="26"/>
              </w:rPr>
              <w:t>mẫu số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lưu hành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kết quả hoạt động kinh doanh trong thời hạn được cấp số lưu hành theo mẫu quy định tại Phụ lục X ban hành kèm theo Nghị định số 36/2016/NĐ-CP.</w:t>
            </w:r>
          </w:p>
        </w:tc>
        <w:tc>
          <w:p/>
          <w:p>
            <w:pPr>
              <w:spacing w:after="0" w:before="0" w:lineRule="auto" w:line="276"/>
              <w:jc w:val="left"/>
            </w:pPr>
            <w:r>
              <w:rPr>
                <w:rFonts w:ascii="Times New Roman" w:hAnsi="Times New Roman" w:cs="Times New Roman" w:eastAsia="Times New Roman"/>
                <w:b w:val="false"/>
                <w:sz w:val="26"/>
              </w:rPr>
              <w:t>phụ lục 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đạt tiêu chuẩn quản lý chất lượng còn hiệu lực tại thời điểm nộp hồ sơ, trừ trường hợp trang thiết bị y tế đã được cấp giấy chứng nhận lưu hành tự do của một trong các nước hoặc tổ chức sau: Các nước thành viên EU, Nhật Bản, Ca-na-đa, TGA của Úc, FDA của Mỹ (Đối với Giấy chứng nhận đạt tiêu chuẩn quản lý chất lượng: Nộp bản gốc hoặc bản sao có chứng thực hoặc bản sao có xác nhận của cơ sở đề nghị cấp số lưu hành. Trường hợp nộp bản sao có xác nhận của cơ sở đề nghị cấp số lưu hành thì khi nộp hồ sơ phải xuất trình bản gốc để đối chiếu hoặc cung cấp nguồn dữ liệu để cơ quan tiếp nhận hồ sơ tra cứu về tính hợp lệ của các giấy tờ này. Trường hợp Giấy chứng nhận đạt tiêu chuẩn quản lý chất lượng không bằng tiếng Anh hoặc không bằng tiếng Việt thì phải dịch ra tiếng Việt. Bản dịch phải được chứng thực theo quy định của pháp luật; Đối với giấy chứng nhận lưu hành tự do: Nộp bản đã được hợp pháp hóa lãnh sự hoặc bản sao có chứng thực của bản đã được hợp pháp hóa lãnh sự. Trường hợp giấy chứng nhận lưu hành tự do không bằng tiếng Anh hoặc không bằng tiếng Việt thì phải dịch ra tiếng Việt. Bản dịch phải được chứng thực theo quy định của pháp luật. Trường hợp giấy chứng nhận lưu hành tự do không ghi rõ thời hạn hết hiệu lực thì thời điểm hết hết hiệu lực của giấy chứng nhận lưu hành tự do được tính là 36 tháng, kể từ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ủy quyền của chủ sở hữu trang thiết bị y tế cho cơ sở thực hiện việc đăng ký lưu hành theo mẫu quy định tại Phụ lục VI ban hành kèm theo Nghị định số 36/2016/NĐ-CP, trừ trường hợp theo quy định tại điểm a khoản 1 Điều 21 Nghị định số 36/2016/NĐ-CP (Đối với giấy ủy quyền của chủ sở hữu trang thiết bị y tế và giấy xác nhận cơ sở đủ điều kiện bảo hành: - Đối với trang thiết bị y tế sản xuất trong nước: Nộp bản gốc hoặc bản sao có chứng thực; - Đối với trang thiết bị y tế nhập khẩu: Nộp bản đã được hợp pháp hóa lãnh sự hoặc bản sao có chứng thực của bản đã được hợp pháp hóa lãnh sự).</w:t>
            </w:r>
          </w:p>
        </w:tc>
        <w:tc>
          <w:p/>
          <w:p>
            <w:pPr>
              <w:spacing w:after="0" w:before="0" w:lineRule="auto" w:line="276"/>
              <w:jc w:val="left"/>
            </w:pPr>
            <w:r>
              <w:rPr>
                <w:rFonts w:ascii="Times New Roman" w:hAnsi="Times New Roman" w:cs="Times New Roman" w:eastAsia="Times New Roman"/>
                <w:b w:val="false"/>
                <w:sz w:val="26"/>
              </w:rPr>
              <w:t>PhuLucVI.docx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lưu hành tự do đối với trang thiết bị y tế nhập khẩu còn hiệu lực tại thời điểm nộp hồ sơ (Nộp bản đã được hợp pháp hóa lãnh sự hoặc bản sao có chứng thực của bản đã được hợp pháp hóa lãnh sự. Trường hợp giấy chứng nhận lưu hành tự do không bằng tiếng Anh hoặc không bằng tiếng Việt thì phải dịch ra tiếng Việt. Bản dịch phải được chứng thực theo quy định của pháp luật. Trường hợp giấy chứng nhận lưu hành tự do không ghi rõ thời hạn hết hiệu lực thì thời điểm hết hết hiệu lực của giấy chứng nhận lưu hành tự do được tính là 36 tháng, kể từ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Số đăng ký lưu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36/2016/NĐ-CP</w:t>
            </w:r>
          </w:p>
        </w:tc>
        <w:tc>
          <w:p/>
          <w:p>
            <w:pPr>
              <w:spacing w:after="0" w:before="0" w:lineRule="auto" w:line="276"/>
              <w:jc w:val="left"/>
            </w:pPr>
            <w:r>
              <w:rPr>
                <w:rFonts w:ascii="Times New Roman" w:hAnsi="Times New Roman" w:cs="Times New Roman" w:eastAsia="Times New Roman"/>
                <w:b w:val="false"/>
                <w:sz w:val="26"/>
              </w:rPr>
              <w:t>Nghị định 36/2016/NĐ-CP Về quản lý trang thiết bị y tế</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169/2018/NĐ-CP</w:t>
            </w:r>
          </w:p>
        </w:tc>
        <w:tc>
          <w:p/>
          <w:p>
            <w:pPr>
              <w:spacing w:after="0" w:before="0" w:lineRule="auto" w:line="276"/>
              <w:jc w:val="left"/>
            </w:pPr>
            <w:r>
              <w:rPr>
                <w:rFonts w:ascii="Times New Roman" w:hAnsi="Times New Roman" w:cs="Times New Roman" w:eastAsia="Times New Roman"/>
                <w:b w:val="false"/>
                <w:sz w:val="26"/>
              </w:rPr>
              <w:t>Nghị định 169/2018/NĐ-CP  Sửa đổi, bổ sung một số điều của Nghị định số 36/2016/NĐ-CP ngày 15 tháng 5 năm 2016 của Chính phủ về quản lý trang thiết bị y tế</w:t>
            </w:r>
          </w:p>
        </w:tc>
        <w:tc>
          <w:p/>
          <w:p>
            <w:pPr>
              <w:spacing w:after="0" w:before="0" w:lineRule="auto" w:line="276"/>
              <w:jc w:val="left"/>
            </w:pPr>
            <w:r>
              <w:rPr>
                <w:rFonts w:ascii="Times New Roman" w:hAnsi="Times New Roman" w:cs="Times New Roman" w:eastAsia="Times New Roman"/>
                <w:b w:val="false"/>
                <w:sz w:val="26"/>
              </w:rPr>
              <w:t>31-12-2018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21 Nghị định số 36/2016/NĐ-CP : Điều kiện của tổ chức được đứng tên công bố tiêu chuẩn áp dụng hoặc đăng ký lưu hành trang thiết bị y tế
1. Tổ chức được đứng tên công bố tiêu chuẩn áp dụng hoặc đăng ký lưu hành trang thiết bị y tế bao gồm:
a) Doanh nghiệp, hợp tác xã, hộ kinh doanh của Việt Nam là chủ sở hữu trang thiết bị y tế;
b) Doanh nghiệp, hợp tác xã, hộ kinh doanh của Việt Nam có chức năng kinh doanh trang thiết bị y tế được chủ sở hữu trang thiết bị y tế ủy quyền đăng ký;
c) Văn phòng đại diện thường trú tại Việt Nam của thương nhân nước ngoài mà thương nhân đó là chủ sở hữu trang thiết bị y tế hoặc được ủy quyền của chủ sở hữu trang thiết bị y tế.
2. Tổ chức đứng tên công bố tiêu chuẩn áp dụng hoặc đăng ký lưu hành trang thiết bị y tế phải có cơ sở bảo hành tại Việt Nam hoặc phải có hợp đồng với tổ chức đủ năng lực bảo hành trang thiết bị y tế mà mình đứng tên đăng ký, trừ trường hợp các trang thiết bị y tế sử dụng một lần theo quy định của chủ sở hữu trang thiết bị y tế.
Trường hợp tổ chức đứng tên công bố tiêu chuẩn áp dụng hoặc đăng ký lưu hành trang thiết bị y tế thuộc quy định tại điểm c khoản 1 Điều này thì chủ sở hữu trang thiết bị y tế phải có hợp đồng với cơ sở đủ năng lực bảo hành trang thiết bị y tế mà mình đứng tên công bố hoặc đăng ký, trừ trường hợp các trang thiết bị y tế sử dụng một lần theo quy định của chủ sở hữu trang thiết bị y tế.
Cơ sở bảo hành phải được chủ sở hữu trang thiết bị y tế chứng nhận đủ năng lực bảo hành sản phẩm mà tổ chức đó đứng tên đề nghị cấp số lưu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2026-05-19T14:49:04Z</dcterms:created>
  <dc:creator>Apache POI</dc:creator>
</cp:coreProperties>
</file>