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tài trợ, đặt hàng nhiệm vụ khoa học, công nghệ và đổi mới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xuất đăng ký xét tài trợ, đặt hàng thực hiện nhiệm vụ khoa học, công nghệ và đổi mới sáng tạo nộp hồ sơ theo quy định đến cơ quan quản lý nhiệm vụ; 
- Trường hợp hồ sơ không hợp lệ, cơ quan quản lý nhiệm vụ thông báo cho tổ chức đề xuất trong thời hạn 10 ngày kể từ ngày hết hạn nộp hồ sơ theo Thông báo; 
- Việc xét tài trợ, đặt hàng được thông qua hội đồng xét tài trợ, đặt hàng (sau đây gọi tắt là hội đồng) và/hoặc ý kiến của các chuyên gia phản biện;
- Trên cơ sở biên bản họp hội đồng, trong thời gian tối đa 03 ngày làm việc kể từ ngày có biên bản họp, cơ quan quản lý nhiệm vụ thông báo kết quả cho tổ chức đề xuất;
- Tổ chức đề xuất xem xét tiếp thu ý kiến đóng góp của hội đồng, bổ sung dự toán kinh phí chi tiết thực hiện nhiệm vụ và gửi về cơ quan quản lý nhiệm vụ trong vòng 15 ngày kể từ thời điểm nhận được thông báo;
- Cơ quan quản lý nhiệm vụ chịu trách nhiệm tổ chức thẩm định kinh phí nhiệm vụ khoa học, công nghệ và đổi mới sáng tạo thông qua Tổ thẩm định;
- Trong thời gian tối đa 03 ngày làm việc kể từ ngày có biên bản thẩm định kinh phí, cơ quan quản lý nhiệm vụ thông báo kết quả cho tổ chức đề xuất. 
- Tổ chức đề xuất có trách nhiệm hoàn thiện dự toán kinh phí và gửi về cơ quan quản lý nhiệm vụ trong vòng 07 ngày làm việc kể từ thời điểm nhận thông báo;
- Cơ quan quản lý nhiệm vụ xem xét, quyết định phê duyệt tổ chức chủ trì tối đa là 110 ngày kể từ ngày hết hạn nộp hồ sơ đề xuất nhiệm vụ khoa học, công nghệ và đổi mới sáng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Bộ phận Một cửa Bộ Khoa học và Công nghệ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 Cổng dịch vụ công quốc gia (https://dichvucong.gov.vn)/Nền tảng số quản lý khoa học, công nghệ và đổi mới sáng tạo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Hoàn thiện sau họp Hội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giải trình, tiếp thu ý kiến của Hội đồng</w:t>
            </w:r>
          </w:p>
        </w:tc>
        <w:tc>
          <w:p/>
          <w:p>
            <w:pPr>
              <w:spacing w:after="0" w:before="0" w:lineRule="auto" w:line="276"/>
              <w:jc w:val="left"/>
            </w:pPr>
            <w:r>
              <w:rPr>
                <w:rFonts w:ascii="Times New Roman" w:hAnsi="Times New Roman" w:cs="Times New Roman" w:eastAsia="Times New Roman"/>
                <w:b w:val="false"/>
                <w:sz w:val="26"/>
              </w:rPr>
              <w:t>BM-13_BocogiitrnhHing.docx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Thuyết minh nhiệm vụ đã được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toán kinh phí chi tiết (không quá 05 trang)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Hoàn thiện sau thẩm định kinh phí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giải trình, tiếp thu ý kiến của Tổ thẩm định kinh phí</w:t>
            </w:r>
          </w:p>
        </w:tc>
        <w:tc>
          <w:p/>
          <w:p>
            <w:pPr>
              <w:spacing w:after="0" w:before="0" w:lineRule="auto" w:line="276"/>
              <w:jc w:val="left"/>
            </w:pPr>
            <w:r>
              <w:rPr>
                <w:rFonts w:ascii="Times New Roman" w:hAnsi="Times New Roman" w:cs="Times New Roman" w:eastAsia="Times New Roman"/>
                <w:b w:val="false"/>
                <w:sz w:val="26"/>
              </w:rPr>
              <w:t>BM-14_BCgiaitrinhtoTKP.docx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toán kinh phí thực hiện nhiệm vụ đã hoàn thiện</w:t>
            </w:r>
          </w:p>
        </w:tc>
        <w:tc>
          <w:p/>
          <w:p>
            <w:pPr>
              <w:spacing w:after="0" w:before="0" w:lineRule="auto" w:line="276"/>
              <w:jc w:val="left"/>
            </w:pPr>
            <w:r>
              <w:rPr>
                <w:rFonts w:ascii="Times New Roman" w:hAnsi="Times New Roman" w:cs="Times New Roman" w:eastAsia="Times New Roman"/>
                <w:b w:val="false"/>
                <w:sz w:val="26"/>
              </w:rPr>
              <w:t>BM-15_DutoanKP05trang.docx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Nộp đăng ký ban đầu: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chủ trì thực hiện nhiệm vụ.</w:t>
            </w:r>
          </w:p>
        </w:tc>
        <w:tc>
          <w:p/>
          <w:p>
            <w:pPr>
              <w:spacing w:after="0" w:before="0" w:lineRule="auto" w:line="276"/>
              <w:jc w:val="left"/>
            </w:pPr>
            <w:r>
              <w:rPr>
                <w:rFonts w:ascii="Times New Roman" w:hAnsi="Times New Roman" w:cs="Times New Roman" w:eastAsia="Times New Roman"/>
                <w:b w:val="false"/>
                <w:sz w:val="26"/>
              </w:rPr>
              <w:t>BM-09_Dondangkychutrinhiemv.docx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Thuyết minh nhiệm vụ hoặc chuỗi nhiệm vụ</w:t>
            </w:r>
          </w:p>
        </w:tc>
        <w:tc>
          <w:p/>
          <w:p>
            <w:pPr>
              <w:spacing w:after="0" w:before="0" w:lineRule="auto" w:line="276"/>
              <w:jc w:val="left"/>
            </w:pPr>
            <w:r>
              <w:rPr>
                <w:rFonts w:ascii="Times New Roman" w:hAnsi="Times New Roman" w:cs="Times New Roman" w:eastAsia="Times New Roman"/>
                <w:b w:val="false"/>
                <w:sz w:val="26"/>
              </w:rPr>
              <w:t>BM-10_Thuytminhnhimv.docx</w:t>
            </w:r>
          </w:p>
          <w:p>
            <w:pPr>
              <w:spacing w:after="0" w:before="0" w:lineRule="auto" w:line="276"/>
              <w:jc w:val="left"/>
            </w:pPr>
            <w:r>
              <w:rPr>
                <w:rFonts w:ascii="Times New Roman" w:hAnsi="Times New Roman" w:cs="Times New Roman" w:eastAsia="Times New Roman"/>
                <w:b w:val="false"/>
                <w:sz w:val="26"/>
              </w:rPr>
              <w:t>BM-11_TMtongquatchuoiNV.docx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tư cách pháp lý của tổ chức chủ trì.</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cam kết phối hợp/đồng tài trợ</w:t>
            </w:r>
          </w:p>
        </w:tc>
        <w:tc>
          <w:p/>
          <w:p>
            <w:pPr>
              <w:spacing w:after="0" w:before="0" w:lineRule="auto" w:line="276"/>
              <w:jc w:val="left"/>
            </w:pPr>
            <w:r>
              <w:rPr>
                <w:rFonts w:ascii="Times New Roman" w:hAnsi="Times New Roman" w:cs="Times New Roman" w:eastAsia="Times New Roman"/>
                <w:b w:val="false"/>
                <w:sz w:val="26"/>
              </w:rPr>
              <w:t>BM-12_Vnbncamktphihp.docx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khác... (tùy thuộc loại hình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tổ chức chủ trì, kinh phí, phương thức khoán chi và thời gian thực hiện nhiệm vụ khoa học, công nghệ và đổi mới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Điều 5 Nghị định số 267/2025/NĐ-CP, cụ thể:
1. Tổ chức, doanh nghiệp (sau đây gọi tắt là tổ chức) đề nghị xét tài trợ, đặt hàng thực hiện nhiệm vụ khoa học, công nghệ và đổi mới sáng tạo sử dụng ngân sách nhà nước phải đáp ứng các yêu cầu sau: có tư cách pháp nhân, có năng lực, kinh nghiệm, có chức năng, nhiệm vụ hoặc lĩnh vực hoạt động phù hợp với lĩnh vực nghiên cứu của nhiệm vụ và không thuộc các trường hợp quy định tại khoản 2 Điều 5.
2. Tổ chức không được xem xét đặt hàng hoặc tài trợ thực hiện nhiệm vụ khoa học, công nghệ và đổi mới sáng tạo khi thuộc một trong các trường hợp sau:
a) Tại thời điểm nộp hồ sơ đăng ký, tổ chức chưa nộp hồ sơ đề nghị đánh giá cuối kỳ hoặc đánh giá nghiệm thu đối với nhiệm vụ khoa học, công nghệ và đổi mới sáng tạo hoặc nhiệm vụ khoa học và công nghệ sử dụng ngân sách nhà nước do tổ chức đó chủ trì theo quy định của pháp luật;
b) Đến thời điểm hết hạn nộp hồ sơ đăng ký, tổ chức chưa hoàn trả đủ kinh phí phải thu hồi theo quyết định/văn bản thông báo của cơ quan có thẩm quyền;
c) Trong thời hạn 01 năm kể từ khi có quyết định của cơ quan có thẩm quyền đình chỉ thực hiện nhiệm vụ khoa học, công nghệ và đổi mới sáng tạo hoặc nhiệm vụ khoa học và công nghệ do có hành vi vi phạm pháp luật;
d) Tổ chức đang bị đình chỉ hoạt động, bị xử phạt vi phạm hành chính vì hành vi vi phạm hành chính trong lĩnh vực khoa học, công nghệ và đổi mới sáng tạo mà chưa hết thời hạn được coi là chưa bị xử lý vi phạm hành chính, bị kỷ luật, bị khởi tố.
3. Tổ chức đề xuất nhiệm vụ khoa học, công nghệ và đổi mới sáng tạo phê duyệt theo phương thức khoán đến sản phẩm cuối cùng cần chủ trì ít nhất 03 nhiệm vụ sử dụng ngân sách nhà nước thuộc chương trình khoa học, công nghệ và đổi mới sáng tạo quốc gia hoặc thuộc chương trình khoa học và công nghệ cấp quốc gia đã kết thúc trong 05 năm gần nhất và đạt được các kết quả và mục tiêu đề ra hoặc được đánh giá từ đạt trở lên.
4. Ngoài quy định tại khoản 1 và 2 Điều 5, tổ chức đề nghị xét tài trợ hoặc đặt hàng thực hiện nhiệm vụ khoa học, công nghệ và đổi mới sáng tạo sử dụng ngân sách nhà nước còn phải đáp ứng các điều kiện tương ứng với từng loại hình nhiệm vụ do cơ quan có thẩm quyền quản lý loại hình nhiệm vụ đó quy định (nếu có) được quy định tại Điều 6 đến Điều 9 Nghị định số 267/2025/NĐ-CP.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2026-05-25T07:55:19Z</dcterms:created>
  <dc:creator>Apache POI</dc:creator>
</cp:coreProperties>
</file>