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2.002815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4192- QĐ/BTCTW</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sinh hoạt đảng tạm thời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Tổ chức xây dựng  Đảng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Đảng viên thực hiện:
- Bước 1: Truy cập Cổng Dịch vụ công quốc gia, đăng nhập bằng tài khoản cá nhân, chọn dịch vụ “Chuyển sinh hoạt Đảng tạm thời”.
- Bước 2: Kê khai thông tin chuyển sinh hoạt, kèm theo giấy tờ liên quan là Phiếu báo chuyển sinh hoạt đảng tạm thời và giấy tờ khác (nếu có) dưới dạng file đính kèm (pdf, hình ảnh).
- Bước 3: Gửi hồ sơ điện tử đến chi bộ nơi đang sinh hoạt để xác nhận, theo dõi trạng thái xử lý trên hệ thống.
- Bước 4: Nhận Giấy giới thiệu chuyển sinh hoạt đảng tạm thời từ chi bộ nơi chuyển đi qua tài khoản cá nhân, sau đó xuất trình (in ra hoặc dùng bản điện tử) cho tổ chức đảng nơi chuyển đến.
2. Tổ chức đảng nơi chuyển đi thực hiện:
- Bước 1: Truy cập Cổng Dịch vụ công quốc gia, đăng nhập bằng tài khoản tổ chức hoặc tài khoản cá nhân đảng viên được phân quyền, nhận hồ sơ chuyển sinh hoạt từ đảng viên.
- Bước 2: Xác minh thông tin (mã số đảng viên, tình trạng sinh hoạt, lý do chuyển), lập giấy giới thiệu sinh hoạt Đảng điện tử theo mẫu quy định (tạm thời).
- Bước 3: Gửi Phiếu báo chuyển sinh hoạt đảng tạm thời đến đảng viên và tổ chức đảng nơi chuyển đến qua hệ thống.
- Bước 4: Lưu trữ hồ sơ điện tử trên Cổng Dịch vụ công quốc gia để đối chiếu khi cần thiết.
3. Tổ chức đảng nơi chuyển đến thực hiện:
- Bước 1: Truy cập Cổng Dịch vụ công quốc gia, đăng nhập bằng tài khoản tổ chức hoặc tài khoản cá nhân đảng viên được phân quyền, nhận giấy giới thiệu sinh hoạt Đảng từ tổ chức đảng nơi chuyển đi hoặc từ đảng viên.
- Bước 2: Kiểm tra thông tin xác nhận và phê duyệt đồng ý tiếp nhận đảng viên về sinh hoạt tạm thời tại tổ chức nơi chuyển đến. Hệ thống tự động cập nhật danh sách đảng viên tại thời điểm được phê duyệt.
- Bước 3: Thông báo xác nhận tiếp nhận (điện tử) đến đảng viên và tổ chức đảng nơi chuyển đi qua hệ thống trong vòng 30 ngày làm việc kể từ ngày nhận giấy giới thiệu.
- Bước 4: Báo cáo tình hình tiếp nhận đảng viên lên cấp ủy cấp trên (nếu cần) trên hệ thống.
4. Trường hợp đặc biệt:
- Gia hạn sinh hoạt tạm thời: Đảng viên gửi yêu cầu gia hạn qua hệ thống, tổ chức đảng nơi chuyển đi và nơi tiếp nhận xác nhận trực tuyến.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báo chuyển sinh hoạt đảng tạm thời.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Đảng, Đảng viên</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Cấp ủy các cấp, Tổ chức đảng các cấp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Hoàn thành chuyển sinh hoạt đảng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XI</w:t>
            </w:r>
          </w:p>
        </w:tc>
        <w:tc>
          <w:p/>
          <w:p>
            <w:pPr>
              <w:spacing w:after="0" w:before="0" w:lineRule="auto" w:line="276"/>
              <w:jc w:val="left"/>
            </w:pPr>
            <w:r>
              <w:rPr>
                <w:rFonts w:ascii="Times New Roman" w:hAnsi="Times New Roman" w:cs="Times New Roman" w:eastAsia="Times New Roman"/>
                <w:b w:val="false"/>
                <w:sz w:val="26"/>
              </w:rPr>
              <w:t>Điều lệ Đảng Cộng sản Việt Nam</w:t>
            </w:r>
          </w:p>
        </w:tc>
        <w:tc>
          <w:p/>
          <w:p>
            <w:pPr>
              <w:spacing w:after="0" w:before="0" w:lineRule="auto" w:line="276"/>
              <w:jc w:val="left"/>
            </w:pPr>
            <w:r>
              <w:rPr>
                <w:rFonts w:ascii="Times New Roman" w:hAnsi="Times New Roman" w:cs="Times New Roman" w:eastAsia="Times New Roman"/>
                <w:b w:val="false"/>
                <w:sz w:val="26"/>
              </w:rPr>
              <w:t>19-01-2011</w:t>
            </w:r>
          </w:p>
        </w:tc>
        <w:tc>
          <w:p/>
        </w:tc>
      </w:tr>
      <w:tr>
        <w:tc>
          <w:p/>
          <w:p>
            <w:pPr>
              <w:spacing w:after="0" w:before="0" w:lineRule="auto" w:line="276"/>
              <w:jc w:val="left"/>
            </w:pPr>
            <w:r>
              <w:rPr>
                <w:rFonts w:ascii="Times New Roman" w:hAnsi="Times New Roman" w:cs="Times New Roman" w:eastAsia="Times New Roman"/>
                <w:b w:val="false"/>
                <w:sz w:val="26"/>
              </w:rPr>
              <w:t>294-QĐ/TW</w:t>
            </w:r>
          </w:p>
        </w:tc>
        <w:tc>
          <w:p/>
          <w:p>
            <w:pPr>
              <w:spacing w:after="0" w:before="0" w:lineRule="auto" w:line="276"/>
              <w:jc w:val="left"/>
            </w:pPr>
            <w:r>
              <w:rPr>
                <w:rFonts w:ascii="Times New Roman" w:hAnsi="Times New Roman" w:cs="Times New Roman" w:eastAsia="Times New Roman"/>
                <w:b w:val="false"/>
                <w:sz w:val="26"/>
              </w:rPr>
              <w:t>Quy định số 294-QĐ/TW, ngày 26/5/2025 của Ban Chấp hành Trung ương về thi hành Điều lệ Đảng</w:t>
            </w:r>
          </w:p>
        </w:tc>
        <w:tc>
          <w:p/>
          <w:p>
            <w:pPr>
              <w:spacing w:after="0" w:before="0" w:lineRule="auto" w:line="276"/>
              <w:jc w:val="left"/>
            </w:pPr>
            <w:r>
              <w:rPr>
                <w:rFonts w:ascii="Times New Roman" w:hAnsi="Times New Roman" w:cs="Times New Roman" w:eastAsia="Times New Roman"/>
                <w:b w:val="false"/>
                <w:sz w:val="26"/>
              </w:rPr>
              <w:t>26-05-2025</w:t>
            </w:r>
          </w:p>
        </w:tc>
        <w:tc>
          <w:p/>
        </w:tc>
      </w:tr>
      <w:tr>
        <w:tc>
          <w:p/>
          <w:p>
            <w:pPr>
              <w:spacing w:after="0" w:before="0" w:lineRule="auto" w:line="276"/>
              <w:jc w:val="left"/>
            </w:pPr>
            <w:r>
              <w:rPr>
                <w:rFonts w:ascii="Times New Roman" w:hAnsi="Times New Roman" w:cs="Times New Roman" w:eastAsia="Times New Roman"/>
                <w:b w:val="false"/>
                <w:sz w:val="26"/>
              </w:rPr>
              <w:t>06-HD/TW</w:t>
            </w:r>
          </w:p>
        </w:tc>
        <w:tc>
          <w:p/>
          <w:p>
            <w:pPr>
              <w:spacing w:after="0" w:before="0" w:lineRule="auto" w:line="276"/>
              <w:jc w:val="left"/>
            </w:pPr>
            <w:r>
              <w:rPr>
                <w:rFonts w:ascii="Times New Roman" w:hAnsi="Times New Roman" w:cs="Times New Roman" w:eastAsia="Times New Roman"/>
                <w:b w:val="false"/>
                <w:sz w:val="26"/>
              </w:rPr>
              <w:t>Hướng dẫn số 06-HD/TW, ngày 09/6/2025 của Ban Bí thư về một số vấn đề cụ thể thi hành Điều lệ Đảng,</w:t>
            </w:r>
          </w:p>
        </w:tc>
        <w:tc>
          <w:p/>
          <w:p>
            <w:pPr>
              <w:spacing w:after="0" w:before="0" w:lineRule="auto" w:line="276"/>
              <w:jc w:val="left"/>
            </w:pPr>
            <w:r>
              <w:rPr>
                <w:rFonts w:ascii="Times New Roman" w:hAnsi="Times New Roman" w:cs="Times New Roman" w:eastAsia="Times New Roman"/>
                <w:b w:val="false"/>
                <w:sz w:val="26"/>
              </w:rPr>
              <w:t>09-06-2025</w:t>
            </w:r>
          </w:p>
        </w:tc>
        <w:tc>
          <w:p/>
        </w:tc>
      </w:tr>
      <w:tr>
        <w:tc>
          <w:p/>
          <w:p>
            <w:pPr>
              <w:spacing w:after="0" w:before="0" w:lineRule="auto" w:line="276"/>
              <w:jc w:val="left"/>
            </w:pPr>
            <w:r>
              <w:rPr>
                <w:rFonts w:ascii="Times New Roman" w:hAnsi="Times New Roman" w:cs="Times New Roman" w:eastAsia="Times New Roman"/>
                <w:b w:val="false"/>
                <w:sz w:val="26"/>
              </w:rPr>
              <w:t>38-HD/BTCTW</w:t>
            </w:r>
          </w:p>
        </w:tc>
        <w:tc>
          <w:p/>
          <w:p>
            <w:pPr>
              <w:spacing w:after="0" w:before="0" w:lineRule="auto" w:line="276"/>
              <w:jc w:val="left"/>
            </w:pPr>
            <w:r>
              <w:rPr>
                <w:rFonts w:ascii="Times New Roman" w:hAnsi="Times New Roman" w:cs="Times New Roman" w:eastAsia="Times New Roman"/>
                <w:b w:val="false"/>
                <w:sz w:val="26"/>
              </w:rPr>
              <w:t>Hướng dẫn số 38-HD/BTCTW, ngày 29/9/2025 của Ban Tổ chức Trung ương về nghiệp vụ công tác đảng viên và các văn bản liên quan.</w:t>
            </w:r>
          </w:p>
        </w:tc>
        <w:tc>
          <w:p/>
          <w:p>
            <w:pPr>
              <w:spacing w:after="0" w:before="0" w:lineRule="auto" w:line="276"/>
              <w:jc w:val="left"/>
            </w:pPr>
            <w:r>
              <w:rPr>
                <w:rFonts w:ascii="Times New Roman" w:hAnsi="Times New Roman" w:cs="Times New Roman" w:eastAsia="Times New Roman"/>
                <w:b w:val="false"/>
                <w:sz w:val="26"/>
              </w:rPr>
              <w:t>29-09-2025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Thực hiện đúng quy định về chuyển sinh hoạt đảng tạm thời.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2026-05-09T09:26:04Z</dcterms:created>
  <dc:creator>Apache POI</dc:creator>
</cp:coreProperties>
</file>