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1.014542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4211/ 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hoạt động nghiên cứu của nghiên cứu viên sau tiến sĩ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có đề nghị hỗ trợ nộp 01 bộ hồ sơ theo quy định theo thời hạn nêu trong thông báo của Cơ quan hỗ trợ hoạt động . 
- Cơ quan hỗ trợ hoạt động thành lập Hội đồng khoa học và công nghệ đánh giá kế hoạch tổng thể các hoạt động do tổ chức đề xuất. 
- Trên cơ sở kết quả đánh giá của Hội đồng khoa học và công nghệ, Cơ quan hỗ trợ hoạt động phê duyệt danh sách các tổ chức được hỗ trợ và mức kinh phí tương ứng. 
-Tối đa 60 ngày kể từ ngày kết thúc thời hạn tiếp nhận hồ sơ Cơ quan hỗ trợ hoạt động ban hành quyết định phê duyệt hỗ trợ (danh sách tổ chức, cá nhân được hỗ trợ và mức kinh phí tương ứng).
-Trong thời hạn 15 ngày kể từ ngày có quyết định phê duyệt hỗ trợ, Cơ quan hỗ trợ hoạt động có trách nhiệm hoàn thành việc ký kết hợp đồng với tổ chức nhận hỗ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60 ngày kể từ ngày kết thúc thời hạn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60 ngày kể từ ngày kết thúc thời hạn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60 ngày kể từ ngày kết thúc thời hạn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hoạt động nâng cao năng lực khoa học và công nghệ dành cho tổ chức theo Mẫu NCNL- 16</w:t>
            </w:r>
          </w:p>
        </w:tc>
        <w:tc>
          <w:p/>
          <w:p>
            <w:pPr>
              <w:spacing w:after="0" w:before="0" w:lineRule="auto" w:line="276"/>
              <w:jc w:val="left"/>
            </w:pPr>
            <w:r>
              <w:rPr>
                <w:rFonts w:ascii="Times New Roman" w:hAnsi="Times New Roman" w:cs="Times New Roman" w:eastAsia="Times New Roman"/>
                <w:b w:val="false"/>
                <w:sz w:val="26"/>
              </w:rPr>
              <w:t>1.nngh-MuNCNL-16.docx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hoạt động nâng cao năng lực khoa học và công nghệ dành cho tổ chức theo Mẫu NCNL-17</w:t>
            </w:r>
          </w:p>
        </w:tc>
        <w:tc>
          <w:p/>
          <w:p>
            <w:pPr>
              <w:spacing w:after="0" w:before="0" w:lineRule="auto" w:line="276"/>
              <w:jc w:val="left"/>
            </w:pPr>
            <w:r>
              <w:rPr>
                <w:rFonts w:ascii="Times New Roman" w:hAnsi="Times New Roman" w:cs="Times New Roman" w:eastAsia="Times New Roman"/>
                <w:b w:val="false"/>
                <w:sz w:val="26"/>
              </w:rPr>
              <w:t>2.Thuytminhhotng-MuNCNL-17.docx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toán kinh phí đề nghị hỗ trợ hoạt động nâng cao năng lực khoa học và công nghệ dành cho tổ chức theo Mẫu NCNL-18</w:t>
            </w:r>
          </w:p>
        </w:tc>
        <w:tc>
          <w:p/>
          <w:p>
            <w:pPr>
              <w:spacing w:after="0" w:before="0" w:lineRule="auto" w:line="276"/>
              <w:jc w:val="left"/>
            </w:pPr>
            <w:r>
              <w:rPr>
                <w:rFonts w:ascii="Times New Roman" w:hAnsi="Times New Roman" w:cs="Times New Roman" w:eastAsia="Times New Roman"/>
                <w:b w:val="false"/>
                <w:sz w:val="26"/>
              </w:rPr>
              <w:t>3.Dtonkp-MuNCNL-18.docx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Khoản 2 Điều 48 Nghị định số 267/2025/NĐ-CP, cụ thể:
Ứng viên phải đáp ứng đồng thời các điều kiện sau:
-Có bằng tiến sĩ trong thời hạn 05 năm tính đến thời điểm nộp hồ sơ;
-Được một nhà khoa học trong nước nhận bảo trợ thực hiện nghiên cứu sau tiến sĩ;
-Được tổ chức khoa học và công nghệ của Việt Nam nhận làm đơn vị chủ trì nghiên cứu sau tiến sĩ. Đơn vị chủ trì nghiên cứu sau tiến sĩ phải có đủ điều kiện cơ sở vật chất, nguyên vật liệu và các điều kiện liên quan để triển khai nghiên cứu, đồng ý tiếp nhận người đến thực hiện nghiên cứu sau tiến sĩ và đồng ý hỗ trợ, tạo điều kiện để triển khai nghiên cứu.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2026-05-21T16:31:08Z</dcterms:created>
  <dc:creator>Apache POI</dc:creator>
</cp:coreProperties>
</file>