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5947/QĐ-BCA-C06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minh nhân dân (9 số)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Đội Cảnh sát quản lý hành chính về trật tự xã hội, Công an cấp huyện.
Cán bộ tiếp nhận kiểm tra hồ sơ, đối chiếu thông tin công dân kê khai với thông tin của công dân trong Sổ hộ khẩu và các giấy tờ liên quan:
Trường hợp hồ sơ đủ điều kiện, thủ tục thì tiến hành in vân tay vào tờ khai và chỉ bản, chụp ảnh chân dung của côngdân, thu lệ phí theo quy định, viết giấy hẹn cho công dân.
Trường hợp hồ sơ đủ điều kiện nhưng thông tin chưa đầy đủ, chính xác thì hướng dẫn công dân điều chỉnh, bổ sung hoặc kê khai lại.
Trường hợp không đủ điều kiện thì không tiếp nhận và trả lời bằng văn bản cho công dân, nêu rõ lý do không tiếp nhận.
Thời gian tiếp nhận hồ sơ: Từ thứ 2 đến thứ 6 hàng tuần (trừ ngày lễ, tết).</w:t>
      </w:r>
    </w:p>
    <w:p>
      <w:pPr>
        <w:spacing w:after="0" w:before="0" w:lineRule="auto" w:line="276"/>
        <w:jc w:val="both"/>
      </w:pPr>
      <w:r>
        <w:rPr>
          <w:rFonts w:ascii="Times New Roman" w:hAnsi="Times New Roman" w:cs="Times New Roman" w:eastAsia="Times New Roman"/>
          <w:b w:val="false"/>
          <w:sz w:val="26"/>
        </w:rPr>
        <w:t>Bước 3: Trả kết quả: Từ thứ 2 đến thứ 6 hàng tuần (trừ ngày lễ, tết).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(Cấp mới: miễn phí (không bao gồm tiền ảnh của người được cấp Chứng minh nhân dân).)</w:t>
            </w:r>
          </w:p>
        </w:tc>
        <w:tc>
          <w:p/>
          <w:p>
            <w:pPr>
              <w:spacing w:after="0" w:before="0" w:lineRule="auto" w:line="276"/>
              <w:jc w:val="left"/>
            </w:pPr>
            <w:r>
              <w:rPr>
                <w:rFonts w:ascii="Times New Roman" w:hAnsi="Times New Roman" w:cs="Times New Roman" w:eastAsia="Times New Roman"/>
                <w:b w:val="false"/>
                <w:sz w:val="26"/>
              </w:rPr>
              <w:t>Trực tiếp tại trụ sở Công an hoặc cấp lưu động tại các địa điểm cần thiết. Thời gian: + Đối với công dân ở thành phố, thị xã không quá 07 ngày làm việc;
+ Đối với trường hợp công dân ở các huyện miền núi vùng cao, biên giới, hải đảo không quá 20 ngày làm việc;
+ Đối với công dân ở các khu vực còn lại không quá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ảnh chân dung cỡ 2cm x 3cm (ảnh chụp không quá 06 tháng trước ngày nộp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Chỉ bản (ký hiệu là A7)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minh nhân dân (ký hiệu là CM3)</w:t>
            </w:r>
          </w:p>
        </w:tc>
        <w:tc>
          <w:p/>
          <w:p>
            <w:pPr>
              <w:spacing w:after="0" w:before="0" w:lineRule="auto" w:line="276"/>
              <w:jc w:val="left"/>
            </w:pPr>
            <w:r>
              <w:rPr>
                <w:rFonts w:ascii="Times New Roman" w:hAnsi="Times New Roman" w:cs="Times New Roman" w:eastAsia="Times New Roman"/>
                <w:b w:val="false"/>
                <w:sz w:val="26"/>
              </w:rPr>
              <w:t>90-Mẫu CM3-Đơn đề nghị cấp CMND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Chứng minh nhân dân (ký hiệu là CM4)</w:t>
            </w:r>
          </w:p>
        </w:tc>
        <w:tc>
          <w:p/>
          <w:p>
            <w:pPr>
              <w:spacing w:after="0" w:before="0" w:lineRule="auto" w:line="276"/>
              <w:jc w:val="left"/>
            </w:pPr>
            <w:r>
              <w:rPr>
                <w:rFonts w:ascii="Times New Roman" w:hAnsi="Times New Roman" w:cs="Times New Roman" w:eastAsia="Times New Roman"/>
                <w:b w:val="false"/>
                <w:sz w:val="26"/>
              </w:rPr>
              <w:t>91-Mẫu CM4-Tờ khai CMND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Công an hoặc cấp lưu động tại các địa điểm cần thiết.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minh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05/1999/NĐ-CP</w:t>
            </w:r>
          </w:p>
        </w:tc>
        <w:tc>
          <w:p/>
          <w:p>
            <w:pPr>
              <w:spacing w:after="0" w:before="0" w:lineRule="auto" w:line="276"/>
              <w:jc w:val="left"/>
            </w:pPr>
            <w:r>
              <w:rPr>
                <w:rFonts w:ascii="Times New Roman" w:hAnsi="Times New Roman" w:cs="Times New Roman" w:eastAsia="Times New Roman"/>
                <w:b w:val="false"/>
                <w:sz w:val="26"/>
              </w:rPr>
              <w:t>Nghị định 05/1999/NĐ-CP</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04/1999/TT-BCA/C13</w:t>
            </w:r>
          </w:p>
        </w:tc>
        <w:tc>
          <w:p/>
          <w:p>
            <w:pPr>
              <w:spacing w:after="0" w:before="0" w:lineRule="auto" w:line="276"/>
              <w:jc w:val="left"/>
            </w:pPr>
            <w:r>
              <w:rPr>
                <w:rFonts w:ascii="Times New Roman" w:hAnsi="Times New Roman" w:cs="Times New Roman" w:eastAsia="Times New Roman"/>
                <w:b w:val="false"/>
                <w:sz w:val="26"/>
              </w:rPr>
              <w:t>Thông tư 04/1999/TT-BCA/C13</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170/2007/NĐ-CP</w:t>
            </w:r>
          </w:p>
        </w:tc>
        <w:tc>
          <w:p/>
          <w:p>
            <w:pPr>
              <w:spacing w:after="0" w:before="0" w:lineRule="auto" w:line="276"/>
              <w:jc w:val="left"/>
            </w:pPr>
            <w:r>
              <w:rPr>
                <w:rFonts w:ascii="Times New Roman" w:hAnsi="Times New Roman" w:cs="Times New Roman" w:eastAsia="Times New Roman"/>
                <w:b w:val="false"/>
                <w:sz w:val="26"/>
              </w:rPr>
              <w:t>Nghị định 170/2007/NĐ-CP</w:t>
            </w:r>
          </w:p>
        </w:tc>
        <w:tc>
          <w:p/>
          <w:p>
            <w:pPr>
              <w:spacing w:after="0" w:before="0" w:lineRule="auto" w:line="276"/>
              <w:jc w:val="left"/>
            </w:pPr>
            <w:r>
              <w:rPr>
                <w:rFonts w:ascii="Times New Roman" w:hAnsi="Times New Roman" w:cs="Times New Roman" w:eastAsia="Times New Roman"/>
                <w:b w:val="false"/>
                <w:sz w:val="26"/>
              </w:rPr>
              <w:t>19-11-2007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106/2013/NĐ-CP</w:t>
            </w:r>
          </w:p>
        </w:tc>
        <w:tc>
          <w:p/>
          <w:p>
            <w:pPr>
              <w:spacing w:after="0" w:before="0" w:lineRule="auto" w:line="276"/>
              <w:jc w:val="left"/>
            </w:pPr>
            <w:r>
              <w:rPr>
                <w:rFonts w:ascii="Times New Roman" w:hAnsi="Times New Roman" w:cs="Times New Roman" w:eastAsia="Times New Roman"/>
                <w:b w:val="false"/>
                <w:sz w:val="26"/>
              </w:rPr>
              <w:t>Nghị định 106/2013/NĐ-CP</w:t>
            </w:r>
          </w:p>
        </w:tc>
        <w:tc>
          <w:p/>
          <w:p>
            <w:pPr>
              <w:spacing w:after="0" w:before="0" w:lineRule="auto" w:line="276"/>
              <w:jc w:val="left"/>
            </w:pPr>
            <w:r>
              <w:rPr>
                <w:rFonts w:ascii="Times New Roman" w:hAnsi="Times New Roman" w:cs="Times New Roman" w:eastAsia="Times New Roman"/>
                <w:b w:val="false"/>
                <w:sz w:val="26"/>
              </w:rPr>
              <w:t>17-09-2013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02/2014/TT-BTC</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tạm thời chưa được cấp Chứng minh nhân dân:
+ Những người đang bị tạm giam, đang thi hành án phạt tù tại trại giam; đang chấp hành quyết định đưa vào trường giáo dưỡng, cơ sở giáo dục bắt buộc, cơ sở cai nghiện bắt buộc.
+ Những người mắc bệnh tâm thần hoặc một bệnh khác làm mất khả năng điều khiển hành vi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2026-05-22T13:21:16Z</dcterms:created>
  <dc:creator>Apache POI</dc:creator>
</cp:coreProperties>
</file>