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1.002977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Thanh toán trực tiếp chi phí khám bệnh, chữa bệnh giữa Cơ quan Bảo hiểm xã hội và người tham gia bảo hiểm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chính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bệnh hoặc thân nhân hoặc người đại diện hợp pháp theo quy định của pháp luật của người bệnh phải trực tiếp nộp hồ sơ cho cơ quan BHXH cấp huyện nơi cư trú.</w:t>
      </w:r>
    </w:p>
    <w:p>
      <w:pPr>
        <w:spacing w:after="0" w:before="0" w:lineRule="auto" w:line="276"/>
        <w:jc w:val="both"/>
      </w:pPr>
      <w:r>
        <w:rPr>
          <w:rFonts w:ascii="Times New Roman" w:hAnsi="Times New Roman" w:cs="Times New Roman" w:eastAsia="Times New Roman"/>
          <w:b w:val="false"/>
          <w:sz w:val="26"/>
        </w:rPr>
        <w:t>Bước 2:
 Bảo hiểm xã hội cấp huyện có trách nhiệm:
 a) Tiếp nhận hồ sơ đề nghị thanh toán của người bệnh và lập Giấy biên nhận hồ sơ. Những hồ sơ không đầy đủ theo quy định thì hướng dẫn bổ sung đầy đủ.
b) Trong thời hạn 40 ngày, kể từ ngày nhận đủ hồ sơ đề nghị thanh toán phải hoàn thành việc giám định BHYT và thanh toán chi phí KCB cho người bệnh hoặc thân nhân của người bệnh hoặc người đại diện hợp pháp. Trường hợp không thanh toán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Trong thời hạn 40 ngày, kể từ ngày nhận đủ hồ sơ đề nghị thanh toán.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Các giấy tờ là bản chụp (kèm theo bản gốc để đối chiếu): a) Thẻ BHYT, giấy chứng minh nhân thân của người đó; b) Giấy ra viện, Phiếu khám bệnh hoặc sổ khám bệnh của lần KCB đề nghị thanh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Hóa đơn và các chứng từ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đoàn cơ quan BHXH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tham gia BHYT được thanh toán chi phí KCB trong phạm vi được hưởng và mức hưởng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25/2008/QH12 -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146/2018/NĐ-CP</w:t>
            </w:r>
          </w:p>
        </w:tc>
        <w:tc>
          <w:p/>
          <w:p>
            <w:pPr>
              <w:spacing w:after="0" w:before="0" w:lineRule="auto" w:line="276"/>
              <w:jc w:val="left"/>
            </w:pPr>
            <w:r>
              <w:rPr>
                <w:rFonts w:ascii="Times New Roman" w:hAnsi="Times New Roman" w:cs="Times New Roman" w:eastAsia="Times New Roman"/>
                <w:b w:val="false"/>
                <w:sz w:val="26"/>
              </w:rPr>
              <w:t>Nghị định 146/2018/NĐ-CP Quy định chi tiết và hướng dẫn biện pháp thi hành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17-10-2018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46/2014/QH13</w:t>
            </w:r>
          </w:p>
        </w:tc>
        <w:tc>
          <w:p/>
          <w:p>
            <w:pPr>
              <w:spacing w:after="0" w:before="0" w:lineRule="auto" w:line="276"/>
              <w:jc w:val="left"/>
            </w:pPr>
            <w:r>
              <w:rPr>
                <w:rFonts w:ascii="Times New Roman" w:hAnsi="Times New Roman" w:cs="Times New Roman" w:eastAsia="Times New Roman"/>
                <w:b w:val="false"/>
                <w:sz w:val="26"/>
              </w:rPr>
              <w:t>46/2014/QH13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13-06-2014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Mức hưởng BHYT
- Mức hưởng BHYT theo quy định tại Điều 22 Luật BHYT;
- Mức hưởng BHYT đối với các trường hợp quy định tại khoản 1 và khoản 7 Điều 22 của Luật BHYT theo quy định tại Điều 14 Nghị định số 146/2018/NĐ-CP ngày 17/10/2018.
2. Yêu cầu đối với người tham gia BHYT
 Chuẩn bị hồ sơ đầy đủ theo quy định tại Điều 28 Nghị định số 146/2018/NĐ-CP ngày 17/10/2018.
3. Yêu cầu đối với cơ quan BHXH
- Căn cứ vào hồ sơ để thanh toán chi phí KCB, trong phạm vi được hưởng và mức hưởng của người tham gia BHYT.
- Trường hợp không thanh toán, cơ quan BHXH huyện phải trả lời bằng văn bản và nêu rõ lý do.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2026-05-26T23:46:45Z</dcterms:created>
  <dc:creator>Apache POI</dc:creator>
</cp:coreProperties>
</file>