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1752/QĐ-BCT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Cấp Giấy phép bán lẻ rượu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hết thời hạn hiệu lực</w:t>
      </w:r>
    </w:p>
    <w:p>
      <w:pPr>
        <w:spacing w:after="0" w:before="0" w:lineRule="auto" w:line="276"/>
        <w:jc w:val="both"/>
      </w:pPr>
      <w:r>
        <w:rPr>
          <w:rFonts w:ascii="Times New Roman" w:hAnsi="Times New Roman" w:cs="Times New Roman" w:eastAsia="Times New Roman"/>
          <w:b w:val="false"/>
          <w:sz w:val="26"/>
        </w:rPr>
        <w:t>Thương nhân phải nộp hồ sơ đề nghị cấp lại giấy phép trước thời hạn hết hiệu lực của giấy phép 30 ngày. 
		Trình tự thực hiện, cách thức thực hiện, thành phần, số lượng hồ sơ, thời hạn giải quyết, đối tượng thực hiện thủ tục hành chính cấp lại đối với quy định tại trường hợp này áp dụng như quy định đối với trường hợp cấp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bị mất hoặc bị hỏng giấy phép</w:t>
      </w:r>
    </w:p>
    <w:p>
      <w:pPr>
        <w:spacing w:after="0" w:before="0" w:lineRule="auto" w:line="276"/>
        <w:jc w:val="both"/>
      </w:pPr>
      <w:r>
        <w:rPr>
          <w:rFonts w:ascii="Times New Roman" w:hAnsi="Times New Roman" w:cs="Times New Roman" w:eastAsia="Times New Roman"/>
          <w:b w:val="false"/>
          <w:sz w:val="26"/>
        </w:rPr>
        <w:t>Thương nhân nộp hồ sơ trực tiếp hoặc qua đường bưu điện hoặc trực tuyến (nếu đủ điều kiện áp dụng) đến Ủy ban nhân dân cấp xã nơi thương nhân đặt trụ sở chính. 
- Trong thời hạn 07 ngày làm việc kể từ ngày nhận đủ hồ sơ hợp lệ, Ủy ban nhân dân cấp xã căn cứ vào hồ sơ đã lưu và hồ sơ đề nghị cấp lại của thương nhân  để xem xét và cấp lại giấy phép theo Mẫu số 07 ban hành kèm theo Nghị định số 105/2017/NĐ-CP. Thời hạn của giấy phép được giữ nguyên như cũ.
- Trường hợp chưa đủ hồ sơ hợp lệ, trong vòng 03 ngày làm việc kể từ ngày tiếp nhận hồ sơ, Ủy ban nhân dân cấp xã phải có văn bản yêu cầu bổ sung. Trường hợp từ chối cấp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cấp lại Giấy phép do bị mất, bị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theo Mẫu số 03 ban hành kèm theo Nghị định số 105/2017/NĐ-CP</w:t>
            </w:r>
          </w:p>
        </w:tc>
        <w:tc>
          <w:p/>
          <w:p>
            <w:pPr>
              <w:spacing w:after="0" w:before="0" w:lineRule="auto" w:line="276"/>
              <w:jc w:val="left"/>
            </w:pPr>
            <w:r>
              <w:rPr>
                <w:rFonts w:ascii="Times New Roman" w:hAnsi="Times New Roman" w:cs="Times New Roman" w:eastAsia="Times New Roman"/>
                <w:b w:val="false"/>
                <w:sz w:val="26"/>
              </w:rPr>
              <w:t>ru03.docx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hoặc bản sao giấy phép đã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cấp lại do giấy phép hết thời hạn hiệu lực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cấp lại đối với  trường hợp này được thực hiện như quy định đối với trường hợp cấp mới;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lẻ rượu (cấp lại do mất, hỏng)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hợp tác xã, liên hiệp hợp tác xã hoặc hộ kinh doanh được thành lập theo quy định của pháp luật 
b) Có quyền sử dụng hợp pháp địa điểm kinh doanh cố định, địa chỉ rõ ràng. 
c) Có văn bản giới thiệu hoặc hợp đồng nguyên tắc của thương nhân sản xuất rượu, thương nhân phân phối rượu hoặc thương nhân bán buôn rượu.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2026-05-05T06:14:24Z</dcterms:created>
  <dc:creator>Apache POI</dc:creator>
</cp:coreProperties>
</file>