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1.014838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364/QĐ-BNNMT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loại rừng đối với khu rừng thuộc thẩm quyền của 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Lâm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Nộp, tiếp nhận hồ sơ
Cơ quan/chủ rừng nộp 01 bộ hồ sơ đến Sở Nông nghiệp và Môi trường (đối với khu rừng đặc dụng thuộc địa phương quản lý) bằng cách thức trực tiếp hoặc qua dịch vụ bưu chính hoặc trực tuyến tại Cổng Dịch vụ công Quốc gia;
Bộ phận tiếp nhận hồ sơ kiểm tra tính chính xác, đầy đủ của hồ sơ, trả lời ngay tính hợp lệ của hồ sơ đối với hồ sơ nộp trực tiếp, trong thời hạn 01 ngày làm việc đối với hồ sơ nộp qua dịch vụ bưu chính hoặc trực tuyến tại Cổng Dịch vụ công Quốc gia; trường hợp hồ sơ không hợp lệ thì thông báo bằng văn bản và nêu rõ lý do;
b) Bước 2: Thẩm định 
Trong thời hạn 15 ngày làm việc kể từ ngày nhận đủ hồ sơ hợp lệ, Sở Nông nghiệp và Môi trường tổ chức lấy ý kiến thẩm định bằng văn bản của cơ quan, tổ chức có liên quan, trường hợp tại khu vực giáp ranh, nằm trong hoặc liên quan trực tiếp đến đất quốc phòng, khu vực biên giới phải lấy ý kiến của cơ quan quân sự đóng tại địa phương; hoàn thành báo cáo thẩm định phương án chuyển loại rừng, trình Chủ tịch Ủy ban nhân dân cấp tỉnh; trường hợp thẩm định không đạt, cơ quan giải quyết thủ tục hành chính thông báo cho chủ rừng bằng văn bản và nêu rõ lý do;
Nội dung chính thẩm định phương án chuyển loại rừng, gồm: Sự đầy đủ về thành phần hồ sơ, các nội dung của phương án chuyển loại rừng theo quy định tại điểm a khoản này; cơ sở pháp lý thực hiện phương án chuyển loại rừng; sự phù hợp với quy hoạch lâm nghiệp; sự đáp ứng các tiêu chí đối với từng loại rừng theo quy định tại các Điều 6, 7 và 8 của Nghị định số 156/2018/NĐ-CP; sự đáp ứng tiêu chí của các phân khu chức năng của khu rừng đặc dụng theo quy định tại khoản 7 Điều 9 Nghị định số 156/2018/NĐ-CP được sửa đổi, bổ sung bởi Nghị định số 42/2026/NĐ-CP; tính khả thi của các giải pháp thực hiện; sự phù hợp giữa thuyết minh và bản đồ phương án chuyển loại rừng.
c) Bước 3: Ban hành quyết định
Trong thời hạn 03 ngày làm việc kể từ ngày nhận đủ hồ sơ trình của Sở Nông nghiệp và Môi trường, Chủ tịch Ủy ban nhân dân cấp tỉnh xem xét quyết định chuyển loại rừng, chuyển bộ phận tiếp nhận hồ sơ để thông báo cho chủ rừng.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18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18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18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của cơ quan xây dựng phương án chuyển loại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Thuyết minh phương án chuyển loại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chuyển loại rừng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156/2018/NĐ-CP</w:t>
            </w:r>
          </w:p>
        </w:tc>
        <w:tc>
          <w:p/>
          <w:p>
            <w:pPr>
              <w:spacing w:after="0" w:before="0" w:lineRule="auto" w:line="276"/>
              <w:jc w:val="left"/>
            </w:pPr>
            <w:r>
              <w:rPr>
                <w:rFonts w:ascii="Times New Roman" w:hAnsi="Times New Roman" w:cs="Times New Roman" w:eastAsia="Times New Roman"/>
                <w:b w:val="false"/>
                <w:sz w:val="26"/>
              </w:rPr>
              <w:t>Nghị định 156/2018/NĐ-CP</w:t>
            </w:r>
          </w:p>
        </w:tc>
        <w:tc>
          <w:p/>
          <w:p>
            <w:pPr>
              <w:spacing w:after="0" w:before="0" w:lineRule="auto" w:line="276"/>
              <w:jc w:val="left"/>
            </w:pPr>
            <w:r>
              <w:rPr>
                <w:rFonts w:ascii="Times New Roman" w:hAnsi="Times New Roman" w:cs="Times New Roman" w:eastAsia="Times New Roman"/>
                <w:b w:val="false"/>
                <w:sz w:val="26"/>
              </w:rPr>
              <w:t>16-11-2018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trong lĩnh vực lâm nghiệp và Kiểm lâm</w:t>
            </w:r>
          </w:p>
        </w:tc>
        <w:tc>
          <w:p/>
          <w:p>
            <w:pPr>
              <w:spacing w:after="0" w:before="0" w:lineRule="auto" w:line="276"/>
              <w:jc w:val="left"/>
            </w:pPr>
            <w:r>
              <w:rPr>
                <w:rFonts w:ascii="Times New Roman" w:hAnsi="Times New Roman" w:cs="Times New Roman" w:eastAsia="Times New Roman"/>
                <w:b w:val="false"/>
                <w:sz w:val="26"/>
              </w:rPr>
              <w:t>26-01-2026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2026-04-30T07:44:33Z</dcterms:created>
  <dc:creator>Apache POI</dc:creator>
</cp:coreProperties>
</file>