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1.014892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1263/QĐ-BKHCN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hoạt động giám định đối tượng hoạt động trong lĩnh vực tiêu chuẩn và hoạt động trong lĩnh vực quy chuẩn kỹ thuật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giám định nộp 01 bộ hồ sơ đăng ký theo hình thức dịch vụ công trực tuyến qua Cổng dịch vụ công quốc gia. Cổng dịch vụ công quốc gia được kết nối, chia sẻ dữ liệu với Cơ sở dữ liệu quốc gia về tiêu chuẩn, đo lường, chất lượng.
Trường hợp Cổng dịch vụ công quốc gia bị lỗi hoặc thủ tục hành chính này chưa hoàn thiện hạ tầng Dịch vụ công trực tuyến, tổ chức giám định nộp hồ sơ bản giấy theo quy định tại Nghị định số 22/2026/NĐ-CP theo hình thức nộp trực tiếp hoặc thông qua dịch vụ bưu chính tới Trung tâm phục vụ hành chính công cấp tỉnh.</w:t>
      </w:r>
    </w:p>
    <w:p>
      <w:pPr>
        <w:spacing w:after="0" w:before="0" w:lineRule="auto" w:line="276"/>
        <w:jc w:val="both"/>
      </w:pPr>
      <w:r>
        <w:rPr>
          <w:rFonts w:ascii="Times New Roman" w:hAnsi="Times New Roman" w:cs="Times New Roman" w:eastAsia="Times New Roman"/>
          <w:b w:val="false"/>
          <w:sz w:val="26"/>
        </w:rPr>
        <w:t>Bước 2: Chủ tịch Ủy ban nhân dân cấp tỉnh xem xét ký cấp mới Giấy chứng nhận đăng ký hoạt động giám định cho tổ chức giám định:
- Trường hợp hồ sơ không đầy đủ theo quy định, trong thời hạn 03 ngày làm việc, kể từ ngày nhận được hồ sơ, cơ quan chuyên môn được Chủ tịch Ủy ban nhân dân cấp tỉnh phân cấp, ủy quyền thông báo yêu cầu tổ chức giám định sửa đổi, bổ sung.
- Trường hợp hồ sơ đầy đủ và hợp lệ, trong thời hạn 07 ngày làm việc, kể từ khi nhận được hồ sơ, Chủ tịch Ủy ban nhân dân cấp tỉnh xem xét ký cấp mới Giấy chứng nhận đăng ký hoạt động giám định cho tổ chức giám định theo Mẫu số 10 tại Phụ lục ban hành kèm theo Nghị định số 22/2026/NĐ-CP.</w:t>
      </w:r>
    </w:p>
    <w:p>
      <w:pPr>
        <w:spacing w:after="0" w:before="0" w:lineRule="auto" w:line="276"/>
        <w:jc w:val="both"/>
      </w:pPr>
      <w:r>
        <w:rPr>
          <w:rFonts w:ascii="Times New Roman" w:hAnsi="Times New Roman" w:cs="Times New Roman" w:eastAsia="Times New Roman"/>
          <w:b w:val="false"/>
          <w:sz w:val="26"/>
        </w:rPr>
        <w:t>Trước khi Giấy chứng nhận hết thời hạn hiệu lực 90 ngày, nếu có nhu cầu tiếp tục tham gia hoạt động giám định, tổ chức giám định phải lập 01 bộ hồ sơ như đối với trường hợp cấp mới quy định tại khoản 2 Điều 47 Nghị định số 22/2026/NĐ-CP và gửi về cơ quan tiếp nhận hồ sơ theo quy định tại khoản 1 Điều 47 Nghị định số 22/2026/NĐ-CP. Trường hợp giám định viên của tổ chức giám định có hồ sơ tại các lần đăng ký cấp trước đó vẫn đáp ứng điều kiện quy định tại Nghị định số 22/2026/NĐ-CP, tổ chức giám định có văn bản gửi kèm theo bảo lưu hồ sơ nhân sự của giám định viên, không phải nộp các chứng chỉ, tài liệu liên quan đối với mỗi giám định viên theo quy định tại điểm b khoản 2 Điều 47 Nghị định số 22/2026/NĐ-CP.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theo quy định: 03 ngày làm việc.
- Trường hợp hồ sơ đầy đủ và hợp lệ: 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theo quy định: 03 ngày làm việc.
- Trường hợp hồ sơ đầy đủ và hợp lệ: 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theo quy định: 03 ngày làm việc.
- Trường hợp hồ sơ đầy đủ và hợp lệ: 07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giám định theo Mẫu số 01 tại Phụ lục ban hành kèm theo Nghị định số 22/2026/NĐ-CP</w:t>
            </w:r>
          </w:p>
        </w:tc>
        <w:tc>
          <w:p/>
          <w:p>
            <w:pPr>
              <w:spacing w:after="0" w:before="0" w:lineRule="auto" w:line="276"/>
              <w:jc w:val="left"/>
            </w:pPr>
            <w:r>
              <w:rPr>
                <w:rFonts w:ascii="Times New Roman" w:hAnsi="Times New Roman" w:cs="Times New Roman" w:eastAsia="Times New Roman"/>
                <w:b w:val="false"/>
                <w:sz w:val="26"/>
              </w:rPr>
              <w:t>Mus01N22.docx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chứng chỉ, tài liệu liên quan đối với mỗi giám định viên gồm: bản sao Quyết định tuyển dụng hoặc Hợp đồng lao động; bản sao các bằng cấp, chứng chỉ theo quy định tại khoản 3 Điều 46 Nghị định số 22/2026/NĐ-CP; tóm tắt kinh nghiệm hoạt động giám định theo Mẫu số 03 tại Phụ lục ban hành kèm theo Nghị định số 22/2026/NĐ-CP và tài liệu chứng minh kinh nghiệm giám định của giám định viên</w:t>
            </w:r>
          </w:p>
        </w:tc>
        <w:tc>
          <w:p/>
          <w:p>
            <w:pPr>
              <w:spacing w:after="0" w:before="0" w:lineRule="auto" w:line="276"/>
              <w:jc w:val="left"/>
            </w:pPr>
            <w:r>
              <w:rPr>
                <w:rFonts w:ascii="Times New Roman" w:hAnsi="Times New Roman" w:cs="Times New Roman" w:eastAsia="Times New Roman"/>
                <w:b w:val="false"/>
                <w:sz w:val="26"/>
              </w:rPr>
              <w:t>Mus03N22.docx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năng lực hoạt động giám định đáp ứng các yêu cầu quy định tại khoản 2 Điều 46 Nghị định số 22/2026/NĐ-CP, cụ thể như sau: - Trường hợp tổ chức giám định đã được tổ chức công nhận quy định tại Điều 58 Nghị định này hoặc tổ chức công nhận thành lập tại nước ngoài quy định tại Điều 62 Nghị định số 22/2026/NĐ-CP công nhận đối với toàn bộ phạm vi đăng ký giám định: tổ chức giám định nộp bản sao Chứng chỉ công nhận kèm theo phạm vi được công nhận; - Trường hợp tổ chức giám định đã được tổ chức công nhận quy định tại Điều 58 Nghị định số 22/2026/NĐ-CP hoặc tổ chức công nhận thành lập tại nước ngoài quy định tại Điều 62 Nghị định số 22/2026/NĐ-CP công nhận nhưng phạm vi đăng ký hoạt động giám định rộng hơn phạm vi được công nhận: tổ chức giám định nộp bản sao Chứng chỉ công nhận kèm theo phạm vi được công nhận và bản công bố năng lực giám định phù hợp với các yêu cầu của tiêu chuẩn quốc gia TCVN ISO/IEC 17020 hoặc tiêu chuẩn quốc tế ISO/IEC 17020 đối với phạm vi chưa được công nhận theo Mẫu số 17 tại Phụ lục ban hành kèm theo Nghị định số 22/2026/NĐ-CP. - Trường hợp tổ chức giám định chưa được công nhận: tổ chức giám định nộp bản công bố năng lực giám định phù hợp với các yêu cầu của tiêu chuẩn quốc gia TCVN ISO/IEC 17020 hoặc tiêu chuẩn quốc tế ISO/IEC 17020 theo Mẫu số 17 tại Phụ lục ban hành kèm theo Nghị định số 22/2026/NĐ-CP</w:t>
            </w:r>
          </w:p>
        </w:tc>
        <w:tc>
          <w:p/>
          <w:p>
            <w:pPr>
              <w:spacing w:after="0" w:before="0" w:lineRule="auto" w:line="276"/>
              <w:jc w:val="left"/>
            </w:pPr>
            <w:r>
              <w:rPr>
                <w:rFonts w:ascii="Times New Roman" w:hAnsi="Times New Roman" w:cs="Times New Roman" w:eastAsia="Times New Roman"/>
                <w:b w:val="false"/>
                <w:sz w:val="26"/>
              </w:rPr>
              <w:t>Mus17N22.docx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Chứng thư giám định.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giám định (theo Mẫu số 10 tại Phụ lục ban hành kèm theo Nghị định số 22/2026/NĐ-CP)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22/2026/NĐ-CP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để tổ chức, hướng dẫn thi hành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16-01-2026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một trong các loại hình tổ chức quy định tại Điều 50 Luật Tiêu chuẩn và Quy chuẩn kỹ thuật.
2. Có hệ thống quản lý và năng lực hoạt động đáp ứng các yêu cầu quy định trong tiêu chuẩn quốc gia TCVN ISO/IEC 17020 hoặc tiêu chuẩn quốc tế ISO/IEC 17020 hoặc tiêu chuẩn quốc gia, tiêu chuẩn quốc tế áp dụng trong lĩnh vực giám định chuyên ngành.
3. Có ít nhất 06 giám định viên chính thức của tổ chức (viên chức hoặc người lao động ký kết hợp đồng lao động thực hiện công việc chuyên môn, nghiệp vụ xác định thời hạn từ đủ 12 tháng trở lên hoặc người lao động ký kết hợp đồng lao động thực hiện công việc chuyên môn, nghiệp vụ không xác định thời hạn), đáp ứng điều kiện: 
a) Có trình độ tốt nghiệp cao đẳng trở lên và chuyên môn phù hợp đối với sản phẩm, hàng hóa giám định;
b) Được đào tạo về tiêu chuẩn quốc gia TCVN ISO/IEC 17020 hoặc tiêu chuẩn quốc tế ISO/IEC 17020 hoặc tiêu chuẩn quốc gia, tiêu chuẩn quốc tế áp dụng trong lĩnh vực giám định chuyên ngành;
c) Có kinh nghiệm ít nhất 02 năm trực tiếp thực hiện giám định đối tượng phù hợp tiêu chuẩn, quy chuẩn kỹ thuật, với tối thiểu 20 cuộc giám định đã được xác nhận bởi tổ chức giám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2026-05-21T16:38:40Z</dcterms:created>
  <dc:creator>Apache POI</dc:creator>
</cp:coreProperties>
</file>