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chứng nhận thực hành tốt sản xuất thuốc thú y (GMP)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có nhu cầu đề nghị gia hạn Cấp Giấy chứng nhận thực hành tốt sản xuất thuốc thú y GMP đối với cơ sở sản xuất thuốc thú y dạng dược phẩm, vắc xin chuẩn bị hồ sơ và nộp 01 bộ hồ sơ đến Bộ phận một cửa của Cơ quan được Bộ trưởng Bộ Nông nghiệp và Môi trường giao giải quyết thủ tục hành chính trong lĩnh vực chăn nuôi và thú y (Cục Chăn nuôi và Thú y). 
Cơ quan được Bộ trưởng Bộ Nông nghiệp và Môi trường giao giải quyết thủ tục hành chính trong lĩnh vực chăn nuôi và thú y (Cục Chăn nuôi và Thú y) tiếp nhận và kiểm tra thành phần, tính hợp lệ của hồ sơ theo quy định.</w:t>
      </w:r>
    </w:p>
    <w:p>
      <w:pPr>
        <w:spacing w:after="0" w:before="0" w:lineRule="auto" w:line="276"/>
        <w:jc w:val="both"/>
      </w:pPr>
      <w:r>
        <w:rPr>
          <w:rFonts w:ascii="Times New Roman" w:hAnsi="Times New Roman" w:cs="Times New Roman" w:eastAsia="Times New Roman"/>
          <w:b w:val="false"/>
          <w:sz w:val="26"/>
        </w:rPr>
        <w:t>Bước 2: Xử lý hồ sơ
Trong thời hạn 18 (mười tám) ngày làm việc kể từ ngày nhận hồ sơ đầy đủ, hợp lệ, cơ quan được Bộ trưởng Bộ Nông nghiệp và Môi trường giao giải quyết thủ tục hành chính trong lĩnh vực chăn nuôi và thú y (Cục Chăn nuôi và Thú y) ra quyết định thành lập Đoàn kiểm tra GMP, đồng thời thông báo lịch kiểm tra cho cơ sở và tiến hành kiểm tra;
Trong thời hạn 10 (mười) ngày kể từ ngày kết thúc kiểm tra, nếu cơ sở đạt yêu cầu Cơ quan được Bộ trưởng Bộ Nông nghiệp và Môi trường giao giải quyết thủ tục hành chính trong lĩnh vực chăn nuôi và thú y cấp Giấy chứng nhận GMP, nếu cơ sở không đạt yêu cầu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t>Phí : 18000000 Đồng</w:t>
              <w:t xml:space="preserve"> (Phí thẩm định tiêu chuẩn và điều kiện sản xuất thuốc thú y, thuốc thú y thủy sản (cơ sở đăng ký GMP))</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t>Phí : 18000000 Đồng</w:t>
              <w:t xml:space="preserve"> (Phí thẩm định tiêu chuẩn và điều kiện sản xuất thuốc thú y, thuốc thú y thủy sản (cơ sở đăng ký GMP))</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28 Ngày làm việc</w:t>
            </w:r>
          </w:p>
        </w:tc>
        <w:tc>
          <w:p/>
          <w:p>
            <w:pPr>
              <w:spacing w:after="0" w:before="0" w:lineRule="auto" w:line="276"/>
              <w:jc w:val="left"/>
            </w:pPr>
            <w:r>
              <w:rPr>
                <w:rFonts w:ascii="Times New Roman" w:hAnsi="Times New Roman" w:cs="Times New Roman" w:eastAsia="Times New Roman"/>
                <w:b w:val="false"/>
                <w:sz w:val="26"/>
              </w:rPr>
              <w:t>Phí : 18000000 Đồng</w:t>
              <w:t xml:space="preserve"> (Phí thẩm định tiêu chuẩn và điều kiện sản xuất thuốc thú y, thuốc thú y thủy sản (cơ sở đăng ký GMP))</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hoạt động, những thay đổi của cơ sở trong 05 năm triển khai GMP; mô tả thông tin cơ sở đã có biện pháp bảo vệ môi trường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khắc phục các tồn tại trong kiểm tra lần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về huấn luyện, đào tạo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thiết bị hiện có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mặt hàng đang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quy trình thao tác chuẩn;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tự thanh tra và đánh giá của cơ sở trong đợt tự thanh tra gần nhất (trong vòng 03 tháng) về triển khai GMP.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gia hạn kiểm tra GMP theo Mẫu số 01.QLT Phụ lục IA ban hành kèm theo Nghị định số 32/2026/NĐ-CP</w:t>
            </w:r>
          </w:p>
        </w:tc>
        <w:tc>
          <w:p/>
          <w:p>
            <w:pPr>
              <w:spacing w:after="0" w:before="0" w:lineRule="auto" w:line="276"/>
              <w:jc w:val="left"/>
            </w:pPr>
            <w:r>
              <w:rPr>
                <w:rFonts w:ascii="Times New Roman" w:hAnsi="Times New Roman" w:cs="Times New Roman" w:eastAsia="Times New Roman"/>
                <w:b w:val="false"/>
                <w:sz w:val="26"/>
              </w:rPr>
              <w:t>Mau01GH.QLT.docx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Chăn nuôi và Thú y - Bộ NN và MT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Nôi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GMP, .văn bản thông báo cho tổ chức trường hợp không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35/2016/NĐ-CP	</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thú y	</w:t>
            </w:r>
          </w:p>
        </w:tc>
        <w:tc>
          <w:p/>
          <w:p>
            <w:pPr>
              <w:spacing w:after="0" w:before="0" w:lineRule="auto" w:line="276"/>
              <w:jc w:val="left"/>
            </w:pPr>
            <w:r>
              <w:rPr>
                <w:rFonts w:ascii="Times New Roman" w:hAnsi="Times New Roman" w:cs="Times New Roman" w:eastAsia="Times New Roman"/>
                <w:b w:val="false"/>
                <w:sz w:val="26"/>
              </w:rPr>
              <w:t>15-05-2016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80/2022/NĐ-CP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35/2016/NĐ-CP ngày 15 tháng 5 năm 2016 của Chính phủ quy định chi tiết một số điều của Luật Thú y.</w:t>
            </w:r>
          </w:p>
        </w:tc>
        <w:tc>
          <w:p/>
          <w:p>
            <w:pPr>
              <w:spacing w:after="0" w:before="0" w:lineRule="auto" w:line="276"/>
              <w:jc w:val="left"/>
            </w:pPr>
            <w:r>
              <w:rPr>
                <w:rFonts w:ascii="Times New Roman" w:hAnsi="Times New Roman" w:cs="Times New Roman" w:eastAsia="Times New Roman"/>
                <w:b w:val="false"/>
                <w:sz w:val="26"/>
              </w:rPr>
              <w:t>13-10-2022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123/2018/NĐ-CP</w:t>
            </w:r>
          </w:p>
        </w:tc>
        <w:tc>
          <w:p/>
          <w:p>
            <w:pPr>
              <w:spacing w:after="0" w:before="0" w:lineRule="auto" w:line="276"/>
              <w:jc w:val="left"/>
            </w:pPr>
            <w:r>
              <w:rPr>
                <w:rFonts w:ascii="Times New Roman" w:hAnsi="Times New Roman" w:cs="Times New Roman" w:eastAsia="Times New Roman"/>
                <w:b w:val="false"/>
                <w:sz w:val="26"/>
              </w:rPr>
              <w:t>Nghị định 123/2018/NĐ-CP</w:t>
            </w:r>
          </w:p>
        </w:tc>
        <w:tc>
          <w:p/>
          <w:p>
            <w:pPr>
              <w:spacing w:after="0" w:before="0" w:lineRule="auto" w:line="276"/>
              <w:jc w:val="left"/>
            </w:pPr>
            <w:r>
              <w:rPr>
                <w:rFonts w:ascii="Times New Roman" w:hAnsi="Times New Roman" w:cs="Times New Roman" w:eastAsia="Times New Roman"/>
                <w:b w:val="false"/>
                <w:sz w:val="26"/>
              </w:rPr>
              <w:t>17-09-2018</w:t>
            </w:r>
          </w:p>
        </w:tc>
        <w:tc>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11-12-2025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sản xuất thuốc thú y phải thực hiện theo quy định tại Điều 90 của Luật Thú y; pháp luật về phòng cháy, chữa cháy; pháp luật về bảo vệ môi trường; pháp luật về an toàn, vệ sinh lao động và đáp ứng các điều kiện sau đây: 
- Địa điểm: Phải có khoảng cách an toàn với khu dân cư, công trình công cộng, bệnh viện, bệnh xá thú y, cơ sở chẩn đoán bệnh động vật, các nguồn gây ô nhiễm.
- Nhà xưởng:
+ Phải có thiết kế phù hợp với quy mô và loại thuốc sản xuất, tránh sự xâm nhập của các loại côn trùng và động vật khác; có vị trí ngăn cách các nguồn lây ô nhiễm từ bên ngoài; 
+ Nền nhà không ngấm nước, dễ vệ sinh, khử trùng, tiêu độc; tường, trần được làm bằng vật liệu bền, chắc, dễ vệ sinh;
+ Có hệ thống cấp và xử lý nước, khí bảo đảm cho sản xuất; có hệ thống thoát nước, xử lý nước, khí thải, chất thải.
- Kho chứa nguyên liệu, phụ liệu, thuốc thành phẩm có diện tích phù hợp với quy mô sản xuất và bảo đảm các điều kiện sau đây:
+ Có kho riêng để bảo quản nguyên liệu, phụ liệu, thuốc thành phẩm;
+ Có kho riêng bên ngoài để bảo quản dung môi và nguyên liệu dễ cháy nổ;
+ Nền nhà không ngấm nước, dễ vệ sinh, khử trùng, tiêu độc; tường, trần được làm bằng vật liệu bền, chắc, dễ vệ sinh;
+ Có thiết bị, phương tiện để bảo đảm điều kiện bảo quản.
- Trang thiết bị, dụng cụ phải được bố trí, lắp đặt phù hợp với quy mô và loại thuốc sản xuất; có hướng dẫn vận hành; có kế hoạch bảo trì bảo dưỡng; có quy trình vệ sinh và bảo đảm đạt yêu cầu vệ sinh, không gây nhiễm hoặc nhiễm chéo giữa các sản phẩm.
-  Kiểm tra chất lượng thuốc thú y:
+ Khu vực kiểm tra chất lượng phải tách biệt với khu vực sản xuất; được bố trí phù hợp để tránh nhiễm chéo; các khu vực tiến hành phép thử sinh học, vi sinh;
+ Mẫu, chất chuẩn phải được bảo quản tại khu vực riêng, bảo đảm điều kiện bảo quản;
+ Phải có trang thiết bị phù hợp.
Ngoài các điều kiện trên, cơ sở sản xuất thuốc thú y dạng dược phẩm, vắc xin phải áp dụng Thực hành tốt sản xuất thuốc của Hiệp hội các nước Đông Nam Á (GMP - ASEAN) hoặc Thực hành tốt sản xuất thuốc của Tổ chức Y tế Thế giới (GMP - WHO) hoặc Thực hành tốt sản xuất thuốc GMP tương đương nhưng không thấp hơn (GMP - ASEAN).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2026-05-19T12:38:08Z</dcterms:created>
  <dc:creator>Apache POI</dc:creator>
</cp:coreProperties>
</file>