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1.003048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2306/QĐ-BYT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Ký hợp đồng khám bệnh, chữa bệnh bảo hiểm y tế lần đầu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Tài chính y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Đối với cơ sở KCB BHYT
+ Cơ sở khám bệnh, chữa bệnh chuẩn bị hồ sơ ký hợp đồng khám bệnh, chữa bệnh bảo hiểm y tế theo quy định tại khoản 1 Điều 16 Nghị định số 146/2018/NĐ-CP (được sửa đổi, bổ sung tại khoản 3 Điều 1 của Nghị định số 02/2025/NĐ-CP) đến cơ quan bảo hiểm xã hội.
+ Nội dung hợp đồng, điều kiện ký hợp đồng khám bệnh, chữa bệnh bảo hiểm y tế đối với cơ sở khám bệnh, chữa bệnh theo quy định tại Điều 17 của Nghị định số 146/2018/NĐ-CP và Mẫu số 7 Phụ lục ban hành kèm theo Nghị định số 75/2023/NĐ-CP (được sửa đổi, bổ sung tại điểm g khoản 7 Điều 1 của Nghị định số 02/2025/NĐ-CP). 
+ Ký hợp đồng khám bệnh, chữa bệnh bảo hiểm y tế theo quy định tại Điều 18 của Nghị định số 146/2018/NĐ-CP.</w:t>
      </w:r>
    </w:p>
    <w:p>
      <w:pPr>
        <w:spacing w:after="0" w:before="0" w:lineRule="auto" w:line="276"/>
        <w:jc w:val="both"/>
      </w:pPr>
      <w:r>
        <w:rPr>
          <w:rFonts w:ascii="Times New Roman" w:hAnsi="Times New Roman" w:cs="Times New Roman" w:eastAsia="Times New Roman"/>
          <w:b w:val="false"/>
          <w:sz w:val="26"/>
        </w:rPr>
        <w:t>Bước 2: Đối với cơ quan BHXH
+ Trong thời hạn 30 ngày, kể từ ngày nhận đủ hồ sơ hợp lệ (theo ngày ghi trên dấu công văn đến), cơ quan bảo hiểm xã hội thực hiện việc xem xét hồ sơ và ký Hợp đồng. Trường hợp không đồng ý ký hợp đồng khám bệnh, chữa bệnh bảo hiểm y tế thì phải có văn bản trả lời và nêu rõ lý do. 
+ Hợp đồng khám bệnh, chữa bệnh bảo hiểm y tế được cơ sở khám bệnh, chữa bệnh ký với cơ quan bảo hiểm xã hội theo Mẫu số 7 Phụ lục ban hành kèm theo Nghị định số 75/2023/NĐ-CP (được sửa đổi, bổ sung tại điểm g khoản 7 Điều 1 của Nghị định số 02/2025/NĐ-CP).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30 ngày, kể từ ngày nhận đủ hồ sơ hợp lệ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30 ngày, kể từ ngày nhận đủ hồ sơ hợp lệ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Công văn đề nghị ký hợp đồng của cơ sở khám bệnh, chữa bệnh.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phép hoạt động khám bệnh, chữa bệnh do cơ quan nhà nước có thẩm quyền cấp cho cơ sở khám bệnh, chữa bệnh.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chụp quyết định xếp cấp hoặc tạm xếp cấp chuyên môn kỹ thuật cho cơ sở khám bệnh, chữa bệnh của cơ quan có thẩm quyền; đối với trường hợp quy định tại điểm đ và điểm h khoản 4 Điều 22 của Luật Bảo hiểm y tế và điểm c khoản 5 Điều 14 của Nghị định số 146/2018/NĐ-CP được sửa đổi, bổ sung tại khoản 1 Điều 1 của Nghị định số 02/2025/NĐ-CP còn phải có bản chụp văn bản của cơ quan có thẩm quyền xác định cơ sở khám bệnh, chữa bệnh đã được xếp tuyến chuyên môn kỹ thuật trước ngày 01 tháng 01 năm 2025. Các văn bản này phải có đóng dấu của cơ sở khám bệnh, chữa bệnh.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mục dịch vụ kỹ thuật y tế, danh mục thuốc, hóa chất, vật tư y tế được cấp có thẩm quyền phê duyệt (bằng văn bản hoặc file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Bảo hiểm xã hội cấp huyện, Bảo hiểm xã hội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Hợp đồng khám bệnh, chữa bệnh bảo hiểm y tế được ký kết giữa cơ quan bảo hiểm xã hội và cơ sở khám bệnh, chữa bệnh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40/2009/QH12</w:t>
            </w:r>
          </w:p>
        </w:tc>
        <w:tc>
          <w:p/>
          <w:p>
            <w:pPr>
              <w:spacing w:after="0" w:before="0" w:lineRule="auto" w:line="276"/>
              <w:jc w:val="left"/>
            </w:pPr>
            <w:r>
              <w:rPr>
                <w:rFonts w:ascii="Times New Roman" w:hAnsi="Times New Roman" w:cs="Times New Roman" w:eastAsia="Times New Roman"/>
                <w:b w:val="false"/>
                <w:sz w:val="26"/>
              </w:rPr>
              <w:t>Luật 40/2009/QH12-Khám bệnh, chữa bệnh</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25/2008/QH12</w:t>
            </w:r>
          </w:p>
        </w:tc>
        <w:tc>
          <w:p/>
          <w:p>
            <w:pPr>
              <w:spacing w:after="0" w:before="0" w:lineRule="auto" w:line="276"/>
              <w:jc w:val="left"/>
            </w:pPr>
            <w:r>
              <w:rPr>
                <w:rFonts w:ascii="Times New Roman" w:hAnsi="Times New Roman" w:cs="Times New Roman" w:eastAsia="Times New Roman"/>
                <w:b w:val="false"/>
                <w:sz w:val="26"/>
              </w:rPr>
              <w:t>Luật 25/2008/QH12 - Bảo hiểm y tế</w:t>
            </w:r>
          </w:p>
        </w:tc>
        <w:tc>
          <w:p/>
          <w:p>
            <w:pPr>
              <w:spacing w:after="0" w:before="0" w:lineRule="auto" w:line="276"/>
              <w:jc w:val="left"/>
            </w:pPr>
            <w:r>
              <w:rPr>
                <w:rFonts w:ascii="Times New Roman" w:hAnsi="Times New Roman" w:cs="Times New Roman" w:eastAsia="Times New Roman"/>
                <w:b w:val="false"/>
                <w:sz w:val="26"/>
              </w:rPr>
              <w:t>14-11-2008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146/2018/NĐ-CP</w:t>
            </w:r>
          </w:p>
        </w:tc>
        <w:tc>
          <w:p/>
          <w:p>
            <w:pPr>
              <w:spacing w:after="0" w:before="0" w:lineRule="auto" w:line="276"/>
              <w:jc w:val="left"/>
            </w:pPr>
            <w:r>
              <w:rPr>
                <w:rFonts w:ascii="Times New Roman" w:hAnsi="Times New Roman" w:cs="Times New Roman" w:eastAsia="Times New Roman"/>
                <w:b w:val="false"/>
                <w:sz w:val="26"/>
              </w:rPr>
              <w:t>Nghị định 146/2018/NĐ-CP Quy định chi tiết và hướng dẫn biện pháp thi hành một số điều của Luật bảo hiểm y tế</w:t>
            </w:r>
          </w:p>
        </w:tc>
        <w:tc>
          <w:p/>
          <w:p>
            <w:pPr>
              <w:spacing w:after="0" w:before="0" w:lineRule="auto" w:line="276"/>
              <w:jc w:val="left"/>
            </w:pPr>
            <w:r>
              <w:rPr>
                <w:rFonts w:ascii="Times New Roman" w:hAnsi="Times New Roman" w:cs="Times New Roman" w:eastAsia="Times New Roman"/>
                <w:b w:val="false"/>
                <w:sz w:val="26"/>
              </w:rPr>
              <w:t>17-10-2018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Luật 46/2014/QH13</w:t>
            </w:r>
          </w:p>
        </w:tc>
        <w:tc>
          <w:p/>
          <w:p>
            <w:pPr>
              <w:spacing w:after="0" w:before="0" w:lineRule="auto" w:line="276"/>
              <w:jc w:val="left"/>
            </w:pPr>
            <w:r>
              <w:rPr>
                <w:rFonts w:ascii="Times New Roman" w:hAnsi="Times New Roman" w:cs="Times New Roman" w:eastAsia="Times New Roman"/>
                <w:b w:val="false"/>
                <w:sz w:val="26"/>
              </w:rPr>
              <w:t>46/2014/QH13 Sửa đổi, bổ sung một số điều của Luật Bảo hiểm y tế</w:t>
            </w:r>
          </w:p>
        </w:tc>
        <w:tc>
          <w:p/>
          <w:p>
            <w:pPr>
              <w:spacing w:after="0" w:before="0" w:lineRule="auto" w:line="276"/>
              <w:jc w:val="left"/>
            </w:pPr>
            <w:r>
              <w:rPr>
                <w:rFonts w:ascii="Times New Roman" w:hAnsi="Times New Roman" w:cs="Times New Roman" w:eastAsia="Times New Roman"/>
                <w:b w:val="false"/>
                <w:sz w:val="26"/>
              </w:rPr>
              <w:t>13-06-2014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51/2024/QH15</w:t>
            </w:r>
          </w:p>
        </w:tc>
        <w:tc>
          <w:p/>
          <w:p>
            <w:pPr>
              <w:spacing w:after="0" w:before="0" w:lineRule="auto" w:line="276"/>
              <w:jc w:val="left"/>
            </w:pPr>
            <w:r>
              <w:rPr>
                <w:rFonts w:ascii="Times New Roman" w:hAnsi="Times New Roman" w:cs="Times New Roman" w:eastAsia="Times New Roman"/>
                <w:b w:val="false"/>
                <w:sz w:val="26"/>
              </w:rPr>
              <w:t>Luật số 51/2024/QH15 ngày 27/11/2024 của Quốc hội sửa đổi, bổ sung một số điều của Luật Bảo hiểm y tế</w:t>
            </w:r>
          </w:p>
        </w:tc>
        <w:tc>
          <w:p/>
          <w:p>
            <w:pPr>
              <w:spacing w:after="0" w:before="0" w:lineRule="auto" w:line="276"/>
              <w:jc w:val="left"/>
            </w:pPr>
            <w:r>
              <w:rPr>
                <w:rFonts w:ascii="Times New Roman" w:hAnsi="Times New Roman" w:cs="Times New Roman" w:eastAsia="Times New Roman"/>
                <w:b w:val="false"/>
                <w:sz w:val="26"/>
              </w:rPr>
              <w:t>27-11-2024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02/2025/NĐ-CP</w:t>
            </w:r>
          </w:p>
        </w:tc>
        <w:tc>
          <w:p/>
          <w:p>
            <w:pPr>
              <w:spacing w:after="0" w:before="0" w:lineRule="auto" w:line="276"/>
              <w:jc w:val="left"/>
            </w:pPr>
            <w:r>
              <w:rPr>
                <w:rFonts w:ascii="Times New Roman" w:hAnsi="Times New Roman" w:cs="Times New Roman" w:eastAsia="Times New Roman"/>
                <w:b w:val="false"/>
                <w:sz w:val="26"/>
              </w:rPr>
              <w:t>Nghị định số 02/2025/NĐ-CP ngày 01 tháng 01 năm 2025 của Chính phủ sửa đổi, bổ sung một số điều của Nghị định số 146/2018/NĐ-CP ngày 17 tháng 10 năm 2018 của Chính phủ quy định chi tiết và hướng dẫn biện pháp thi hành Luật Bảo hiểm y tế, đã được sửa đổi, bổ sung một số điều tại Nghị định số 75/2023/NĐ-CP ngày 19 tháng 10 năm 2023 của Chính phủ.</w:t>
            </w:r>
          </w:p>
        </w:tc>
        <w:tc>
          <w:p/>
          <w:p>
            <w:pPr>
              <w:spacing w:after="0" w:before="0" w:lineRule="auto" w:line="276"/>
              <w:jc w:val="left"/>
            </w:pPr>
            <w:r>
              <w:rPr>
                <w:rFonts w:ascii="Times New Roman" w:hAnsi="Times New Roman" w:cs="Times New Roman" w:eastAsia="Times New Roman"/>
                <w:b w:val="false"/>
                <w:sz w:val="26"/>
              </w:rPr>
              <w:t>01-01-2025</w:t>
            </w:r>
          </w:p>
        </w:tc>
        <w:tc>
          <w:p/>
          <w:p>
            <w:pPr>
              <w:spacing w:after="0" w:before="0" w:lineRule="auto" w:line="276"/>
              <w:jc w:val="left"/>
            </w:pPr>
            <w:r>
              <w:rPr>
                <w:rFonts w:ascii="Times New Roman" w:hAnsi="Times New Roman" w:cs="Times New Roman" w:eastAsia="Times New Roman"/>
                <w:b w:val="false"/>
                <w:sz w:val="26"/>
              </w:rPr>
              <w:t>Phó Thủ tướng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1.Yêu cầu đối với cơ sở khám bệnh, chữa bệnh: 
- Cơ sở khám bệnh, chữa bệnh chuẩn bị hồ sơ ký hợp đồng khám bệnh, chữa bệnh bảo hiểm y tế quy định tại Điều 16 Nghị định số 146/2018/NĐ-CP; khoản 3 và điểm a khoản 7 Điều 1 của Nghị định số 02/2025/NĐ-CP.
- Điều kiện ký hợp đồng khám bệnh, chữa bệnh bảo hiểm y tế đối với cơ sở khám bệnh, chữa bệnh quy định tại Điều 17 Nghị định số 146/2018/NĐ-CP. 
- Ký hợp đồng khám bệnh, chữa bệnh bảo hiểm y tế quy định tại Điều 18 Nghị định số 146/2018/NĐ-CP.  
2. Yêu cầu đối với cơ quan bảo hiểm xã hội:
- Ký hợp đồng khám bệnh, chữa bệnh lần đầu theo Mẫu số 7 Phụ lục ban hành kèm theo Nghị định số 75/2023/NĐ-CP (được sửa đổi, bổ sung tại điểm g khoản 7 Điều 1 của Nghị định số 02/2025/NĐ-CP).
- Thời hạn có hiệu lực của hợp đồng khám bệnh, chữa bệnh bảo hiểm y tế theo khoản 2 Điều 18 của Nghị định số 146/2018/NĐ-CP. 
- Cơ sở khám bệnh, chữa bệnh và cơ quan bảo hiểm xã hội có trách nhiệm bảo đảm quyền lợi của người tham gia bảo hiểm y tế theo quy định của Pháp luật và không làm gián đoạn việc khám bệnh, chữa bệnh đối với người tham gia bảo hiểm y tế.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2026-05-26T18:45:12Z</dcterms:created>
  <dc:creator>Apache POI</dc:creator>
</cp:coreProperties>
</file>