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chế độ ưu đãi trong giáo dục đào tạo đối với người có công với cách mạng và con của họ</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với cách mạng hoặc con của người có công lập tờ khai kèm giấy xác nhận của cơ sở giáo dục phổ thông hoặc cơ sở giáo dục nghề nghiệp, đại học gửi đến Ủy ban nhân dân cấp xã nơi thường trú của người có công vào đầu mỗi năm học hoặc khóa học</w:t>
      </w:r>
    </w:p>
    <w:p>
      <w:pPr>
        <w:spacing w:after="0" w:before="0" w:lineRule="auto" w:line="276"/>
        <w:jc w:val="both"/>
      </w:pPr>
      <w:r>
        <w:rPr>
          <w:rFonts w:ascii="Times New Roman" w:hAnsi="Times New Roman" w:cs="Times New Roman" w:eastAsia="Times New Roman"/>
          <w:b w:val="false"/>
          <w:sz w:val="26"/>
        </w:rPr>
        <w:t>Bước 2: Ủy ban nhân dân cấp xã trong thời gian 03 ngày làm việc kể từ ngày nhận được bản khai, có trách nhiệm xác nhận các yếu tố trong bản khai, lập danh sách kèm các giấy tờ gửi Phòng Lao động - Thương binh và Xã hội
Trường hợp người có công với cách mạng đang hưởng trợ cấp ưu đãi hàng tháng thuộc cơ quan, đơn vị quân đội, công an, trung tâm nuôi dưỡng thương binh, bệnh binh nặng và người có công thuộc ngành Lao động - Thương binh và Xã hội quản lý thì các cơ quan này chịu trách nhiệm xác nhận (trong thời gian 03 ngày làm việc) và gửi về Phòng Lao động - Thương binh và Xã hội nơi thường trú của thân nhân người có công thuộc diện hưởng ưu đãi trong giáo dục đào tạo</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05 ngày làm việc kể từ ngày nhận đủ các giấy tờ hợp lệ, có trách nhiệm thẩm định hồ sơ, lập danh sách kèm giấy tờ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05 ngày làm việc kể từ ngày nhận đủ các giấy tờ hợp lệ có trách nhiệm kiểm tra danh sách, đối chiếu với hồ sơ người có công, ra Quyết định giải quyết chế độ ưu đãi trong giáo dục đào tạo (Mẫu số 03-ƯĐGD) đối với các trường hợp đủ điều kiện; chuyển Quyết định và 01 danh sách đã được phê duyệt về Phòng Lao động - Thương binh và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giải quyết chế độ ưu đãi trong giáo dục đào tạo (Mẫu số 01-ƯĐGD)</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của cơ sở giáo dục phổ thông hoặc cơ sở giáo dục nghề nghiệp, đại học (Mẫu số 02-ƯĐGD)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thực hiện chế độ ưu đãi trong giáo dục đào tạo (Mẫu số 03-ƯĐGD)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Ủy ban Nhân dân xã, phường, thị trấn., Phòng Lao động- Thương Binh và Xã hội, Cơ sở giáo dục phổ thông, Cơ sở giáo dục nghề nghiệp, Cơ sở giáo dục đại học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thường trú của người có công vào đầu mỗi năm học hoặc khóa học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ưu đãi trong giáo dục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36/2015/TT-BLĐTBXH</w:t>
            </w:r>
          </w:p>
        </w:tc>
        <w:tc>
          <w:p/>
          <w:p>
            <w:pPr>
              <w:spacing w:after="0" w:before="0" w:lineRule="auto" w:line="276"/>
              <w:jc w:val="left"/>
            </w:pPr>
            <w:r>
              <w:rPr>
                <w:rFonts w:ascii="Times New Roman" w:hAnsi="Times New Roman" w:cs="Times New Roman" w:eastAsia="Times New Roman"/>
                <w:b w:val="false"/>
                <w:sz w:val="26"/>
              </w:rPr>
              <w:t>Thông tư 36/2015/TT-BLĐTBXH - Hướng dẫn hồ sơ, trình tự thủ tục thực hiện chế độ ưu đãi trong giáo dục đào tạo đối với người có công với cách mạng và con của họ</w:t>
            </w:r>
          </w:p>
        </w:tc>
        <w:tc>
          <w:p/>
          <w:p>
            <w:pPr>
              <w:spacing w:after="0" w:before="0" w:lineRule="auto" w:line="276"/>
              <w:jc w:val="left"/>
            </w:pPr>
            <w:r>
              <w:rPr>
                <w:rFonts w:ascii="Times New Roman" w:hAnsi="Times New Roman" w:cs="Times New Roman" w:eastAsia="Times New Roman"/>
                <w:b w:val="false"/>
                <w:sz w:val="26"/>
              </w:rPr>
              <w:t>28-09-2015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2026-05-23T19:29:37Z</dcterms:created>
  <dc:creator>Apache POI</dc:creator>
</cp:coreProperties>
</file>