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1842/QĐ-BCA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 dụng thiết bị phát tín hiệu của xe được quyền ưu tiên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có nhu cầu được cấp giấy phép sử dụng thiết bị phát tín hiệu của xe được quyền ưu tiên nộp hồ sơ tại cơ quan Phòng Cảnh sát giao thông Công an tỉnh, thành phố trực thuộc Trung ương vào giờ hành chính các ngày làm việc trong tuần.</w:t>
      </w:r>
    </w:p>
    <w:p>
      <w:pPr>
        <w:spacing w:after="0" w:before="0" w:lineRule="auto" w:line="276"/>
        <w:jc w:val="both"/>
      </w:pPr>
      <w:r>
        <w:rPr>
          <w:rFonts w:ascii="Times New Roman" w:hAnsi="Times New Roman" w:cs="Times New Roman" w:eastAsia="Times New Roman"/>
          <w:b w:val="false"/>
          <w:sz w:val="26"/>
        </w:rPr>
        <w:t>Bước 2: Cán bộ tiếp nhận kiểm tra hồ sơ. Nếu hồ sơ hợp lệ và đủ thành phần thì thụ lý giải quyết và cấp Phiếu nhận hồ sơ; nếu hồ sơ không hợp lệ hoặc thiếu thành phần thì trả lại và hướng dẫn bổ sung hoàn chỉnh.</w:t>
      </w:r>
    </w:p>
    <w:p>
      <w:pPr>
        <w:spacing w:after="0" w:before="0" w:lineRule="auto" w:line="276"/>
        <w:jc w:val="both"/>
      </w:pPr>
      <w:r>
        <w:rPr>
          <w:rFonts w:ascii="Times New Roman" w:hAnsi="Times New Roman" w:cs="Times New Roman" w:eastAsia="Times New Roman"/>
          <w:b w:val="false"/>
          <w:sz w:val="26"/>
        </w:rPr>
        <w:t>Bước 3: Căn cứ theo ngày hẹn trên Phiếu nhận hồ sơ, tổ chức, cá nhân đến nơi nộp hồ sơ để nhận kết quả giấy phép sử dụng thiết bị phát tín hiệu của xe được quyền ưu tiên.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(Cơ quan, tổ chức, cá nhân được cấp giấy phép sử dụng thiết bị phát tín hiệu của xe được quyền ưu tiên phải nộp lệ phí theo quy định của pháp luật về phí và lệ phí.)</w:t>
            </w:r>
          </w:p>
        </w:tc>
        <w:tc>
          <w:p/>
          <w:p>
            <w:pPr>
              <w:spacing w:after="0" w:before="0" w:lineRule="auto" w:line="276"/>
              <w:jc w:val="left"/>
            </w:pPr>
            <w:r>
              <w:rPr>
                <w:rFonts w:ascii="Times New Roman" w:hAnsi="Times New Roman" w:cs="Times New Roman" w:eastAsia="Times New Roman"/>
                <w:b w:val="false"/>
                <w:sz w:val="26"/>
              </w:rPr>
              <w:t>trực tiếp tại cơ quan Phòng Cảnh sát giao thông Công an tỉnh, thành phố trực thuộc Trung 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Công văn đề nghị cấp giấy phép sử dụng thiết bị phát tín hiệu của xe được quyền ưu tiên của cơ quan, tổ chức, cá nhân quản lý xe được quyền ưu tiên, trong đó nêu rõ lý do cấp và các thông tin khác như: loại xe, biển số, tên cơ quan, tổ chức, cá nhân, địa chỉ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đăng ký xe ô tô hoặc mô tô (xuất trình bản chính để đối chiếu).  Trường hợp giấy phép sử dụng thiết bị phát tín hiệu của xe được quyền ưu tiên bị hư hỏng, nhàu nát hoặc bị mất, cơ quan, tổ chức, cá nhân quản lý xe được quyền ưu tiên phải có văn bản đề nghị cấp lại và nêu rõ lý do.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giao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giao thông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Phòng Cảnh sát giao thông Công an tỉnh, thành phố trực thuộc Trung ương cấp giấy phép sử dụng thiết bị phát tín hiệu của xe được quyền ưu tiên cho cơ quan, tổ chức, cá nhân tại địa phương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thiết bị phát tín hiệu của xe được quyền ưu tiên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109/2009/NĐ-CP</w:t>
            </w:r>
          </w:p>
        </w:tc>
        <w:tc>
          <w:p/>
          <w:p>
            <w:pPr>
              <w:spacing w:after="0" w:before="0" w:lineRule="auto" w:line="276"/>
              <w:jc w:val="left"/>
            </w:pPr>
            <w:r>
              <w:rPr>
                <w:rFonts w:ascii="Times New Roman" w:hAnsi="Times New Roman" w:cs="Times New Roman" w:eastAsia="Times New Roman"/>
                <w:b w:val="false"/>
                <w:sz w:val="26"/>
              </w:rPr>
              <w:t>Nghị định 109/2009/NĐ-CP</w:t>
            </w:r>
          </w:p>
        </w:tc>
        <w:tc>
          <w:p/>
          <w:p>
            <w:pPr>
              <w:spacing w:after="0" w:before="0" w:lineRule="auto" w:line="276"/>
              <w:jc w:val="left"/>
            </w:pPr>
            <w:r>
              <w:rPr>
                <w:rFonts w:ascii="Times New Roman" w:hAnsi="Times New Roman" w:cs="Times New Roman" w:eastAsia="Times New Roman"/>
                <w:b w:val="false"/>
                <w:sz w:val="26"/>
              </w:rPr>
              <w:t>01-12-2009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04/2012/TTLT-BCA-BCT</w:t>
            </w:r>
          </w:p>
        </w:tc>
        <w:tc>
          <w:p/>
          <w:p>
            <w:pPr>
              <w:spacing w:after="0" w:before="0" w:lineRule="auto" w:line="276"/>
              <w:jc w:val="left"/>
            </w:pPr>
            <w:r>
              <w:rPr>
                <w:rFonts w:ascii="Times New Roman" w:hAnsi="Times New Roman" w:cs="Times New Roman" w:eastAsia="Times New Roman"/>
                <w:b w:val="false"/>
                <w:sz w:val="26"/>
              </w:rPr>
              <w:t>Thông tư liên tịch 04/2012/TTLT-BCA-BCT</w:t>
            </w:r>
          </w:p>
        </w:tc>
        <w:tc>
          <w:p/>
          <w:p>
            <w:pPr>
              <w:spacing w:after="0" w:before="0" w:lineRule="auto" w:line="276"/>
              <w:jc w:val="left"/>
            </w:pPr>
            <w:r>
              <w:rPr>
                <w:rFonts w:ascii="Times New Roman" w:hAnsi="Times New Roman" w:cs="Times New Roman" w:eastAsia="Times New Roman"/>
                <w:b w:val="false"/>
                <w:sz w:val="26"/>
              </w:rPr>
              <w:t>08-03-2012</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Chỉ cấp Giấy phép sử dụng thiết bị phát tín hiệu của xe được quyền ưu tiên đúng đối tượng theo quy định tại Nghị định số 109/2009/NĐ-CP, ngày 01/12/2009 quy định về tín hiệu của xe được quyền ưu tiên.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quản lý phương tiện giao thông đường bộ</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2026-05-27T18:33:03Z</dcterms:created>
  <dc:creator>Apache POI</dc:creator>
</cp:coreProperties>
</file>