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1.003070</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Quyết định số 6225/QĐ-BQP</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giải quyết chế độ trợ cấp khó khăn đột xuất đối với thân nhân của hạ sĩ quan, binh sĩ tại ngũ</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Chính sách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Hạ sĩ quan, binh sĩ làm bản khai đề nghị trợ cấp khó khăn đột xuất. Ủy ban nhân dân xã, phường, thị trấn nơi gia đình cư trú xác nhận bản khai; trường hợp nếu thân nhân của hạ sĩ quan, binh sĩ có các loại giấy tờ như: Giấy xác nhận của Ủy ban nhân dân cấp xã về mức độ thiệt hại vật chất khi bị sập nhà, trôi nhà, cháy nhà hoặc phải di dời chỗ ở hoặc thân nhân ốm đau dài ngày từ một tháng trở lên; giấy ra viện của cơ sở y tế nơi thân nhân điều trị; giấy báo tử của thân nhân hy sinh; giấy chứng tử của thân nhân từ trần hoặc mất tích hoặc xác nhận của Ủy ban nhân dân cấp xã gửi cho hạ sĩ quan, binh sĩ thì bản khai đề nghị trợ cấp khó khăn đột xuất kèm theo các loại giấy đó, không phải xin xác nhận của Ủy ban nhân dân cấp xã, nộp cho cán bộ đại đội, tiểu đoàn hoặc tương đương;</w:t>
      </w:r>
    </w:p>
    <w:p>
      <w:pPr>
        <w:spacing w:after="0" w:before="0" w:lineRule="auto" w:line="276"/>
        <w:jc w:val="both"/>
      </w:pPr>
      <w:r>
        <w:rPr>
          <w:rFonts w:ascii="Times New Roman" w:hAnsi="Times New Roman" w:cs="Times New Roman" w:eastAsia="Times New Roman"/>
          <w:b w:val="false"/>
          <w:sz w:val="26"/>
        </w:rPr>
        <w:t>Bước 2: Cấp đại đội, tiểu đoàn hoặc tương đương tiếp nhận bản khai và các loại giấy tờ, kiểm tra và đề nghị cấp trên trực tiếp;</w:t>
      </w:r>
    </w:p>
    <w:p>
      <w:pPr>
        <w:spacing w:after="0" w:before="0" w:lineRule="auto" w:line="276"/>
        <w:jc w:val="both"/>
      </w:pPr>
      <w:r>
        <w:rPr>
          <w:rFonts w:ascii="Times New Roman" w:hAnsi="Times New Roman" w:cs="Times New Roman" w:eastAsia="Times New Roman"/>
          <w:b w:val="false"/>
          <w:sz w:val="26"/>
        </w:rPr>
        <w:t>Bước 3: Cấp trung đoàn hoặc tương đương xem xét, quyết định trợ cấp khó khăn đột xuất cho hạ sĩ quan, binh sĩ.</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02 Ngày làm việc</w:t>
            </w:r>
          </w:p>
        </w:tc>
        <w:tc>
          <w:p/>
          <w:p>
            <w:pPr>
              <w:spacing w:after="0" w:before="0" w:lineRule="auto" w:line="276"/>
              <w:jc w:val="left"/>
            </w:pPr>
            <w:r>
              <w:rPr>
                <w:rFonts w:ascii="Times New Roman" w:hAnsi="Times New Roman" w:cs="Times New Roman" w:eastAsia="Times New Roman"/>
                <w:b w:val="false"/>
                <w:sz w:val="26"/>
              </w:rPr>
              <w:t>Lệ phí : 0 Đồng</w:t>
            </w:r>
          </w:p>
        </w:tc>
        <w:tc>
          <w:p/>
          <w:p>
            <w:pPr>
              <w:spacing w:after="0" w:before="0" w:lineRule="auto" w:line="276"/>
              <w:jc w:val="left"/>
            </w:pPr>
            <w:r>
              <w:rPr>
                <w:rFonts w:ascii="Times New Roman" w:hAnsi="Times New Roman" w:cs="Times New Roman" w:eastAsia="Times New Roman"/>
                <w:b w:val="false"/>
                <w:sz w:val="26"/>
              </w:rPr>
              <w:t>- Cấp đại đội, tiểu đoàn hoặc tương đương: 01 ngày làm việc;
- Cấp trung đoàn hoặc tương đương: Không quá 01 ngày làm việc.
Cách thức thực hiện: Nộp trực tiếp cho đại đội, tiểu đoàn hoặc tương đương (nơi hạ sĩ quan, binh sĩ công tác).</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02 Ngày làm việc</w:t>
            </w:r>
          </w:p>
        </w:tc>
        <w:tc>
          <w:p/>
          <w:p>
            <w:pPr>
              <w:spacing w:after="0" w:before="0" w:lineRule="auto" w:line="276"/>
              <w:jc w:val="left"/>
            </w:pPr>
            <w:r>
              <w:rPr>
                <w:rFonts w:ascii="Times New Roman" w:hAnsi="Times New Roman" w:cs="Times New Roman" w:eastAsia="Times New Roman"/>
                <w:b w:val="false"/>
                <w:sz w:val="26"/>
              </w:rPr>
              <w:t>Lệ phí : 0 Đồng</w:t>
            </w:r>
          </w:p>
        </w:tc>
        <w:tc>
          <w:p/>
          <w:p>
            <w:pPr>
              <w:spacing w:after="0" w:before="0" w:lineRule="auto" w:line="276"/>
              <w:jc w:val="left"/>
            </w:pPr>
            <w:r>
              <w:rPr>
                <w:rFonts w:ascii="Times New Roman" w:hAnsi="Times New Roman" w:cs="Times New Roman" w:eastAsia="Times New Roman"/>
                <w:b w:val="false"/>
                <w:sz w:val="26"/>
              </w:rPr>
              <w:t>- Cấp đại đội, tiểu đoàn hoặc tương đương: 01 ngày làm việc;
- Cấp trung đoàn hoặc tương đương: Không quá 01 ngày làm việc.
Cách thức thực hiện: Nộp trực tiếp cho đại đội, tiểu đoàn hoặc tương đương (nơi hạ sĩ quan, binh sĩ công tác).</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Bản khai đề nghị trợ cấp khó khăn đột xuất (Mẫu số 03)</w:t>
            </w:r>
          </w:p>
        </w:tc>
        <w:tc>
          <w:p/>
          <w:p>
            <w:pPr>
              <w:spacing w:after="0" w:before="0" w:lineRule="auto" w:line="276"/>
              <w:jc w:val="left"/>
            </w:pPr>
            <w:r>
              <w:rPr>
                <w:rFonts w:ascii="Times New Roman" w:hAnsi="Times New Roman" w:cs="Times New Roman" w:eastAsia="Times New Roman"/>
                <w:b w:val="false"/>
                <w:sz w:val="26"/>
              </w:rPr>
              <w:t>Mẫu số 01  - Bản khai đề nghị trợ cấp khó khăn.doc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Đơn vị cấp đại hội hoặc tương đương</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Cấp trung đoàn hoặc tương đương</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cơ sở y tế địa phương</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trợ cấp</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78/2015/QH13</w:t>
            </w:r>
          </w:p>
        </w:tc>
        <w:tc>
          <w:p/>
          <w:p>
            <w:pPr>
              <w:spacing w:after="0" w:before="0" w:lineRule="auto" w:line="276"/>
              <w:jc w:val="left"/>
            </w:pPr>
            <w:r>
              <w:rPr>
                <w:rFonts w:ascii="Times New Roman" w:hAnsi="Times New Roman" w:cs="Times New Roman" w:eastAsia="Times New Roman"/>
                <w:b w:val="false"/>
                <w:sz w:val="26"/>
              </w:rPr>
              <w:t>Nghĩa vụ quân sự</w:t>
            </w:r>
          </w:p>
        </w:tc>
        <w:tc>
          <w:p/>
          <w:p>
            <w:pPr>
              <w:spacing w:after="0" w:before="0" w:lineRule="auto" w:line="276"/>
              <w:jc w:val="left"/>
            </w:pPr>
            <w:r>
              <w:rPr>
                <w:rFonts w:ascii="Times New Roman" w:hAnsi="Times New Roman" w:cs="Times New Roman" w:eastAsia="Times New Roman"/>
                <w:b w:val="false"/>
                <w:sz w:val="26"/>
              </w:rPr>
              <w:t>19-06-2015</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27/2016/NĐ-CP</w:t>
            </w:r>
          </w:p>
        </w:tc>
        <w:tc>
          <w:p/>
          <w:p>
            <w:pPr>
              <w:spacing w:after="0" w:before="0" w:lineRule="auto" w:line="276"/>
              <w:jc w:val="left"/>
            </w:pPr>
            <w:r>
              <w:rPr>
                <w:rFonts w:ascii="Times New Roman" w:hAnsi="Times New Roman" w:cs="Times New Roman" w:eastAsia="Times New Roman"/>
                <w:b w:val="false"/>
                <w:sz w:val="26"/>
              </w:rPr>
              <w:t>Nghị định quy định chế độ, chính sách đối với hạ sĩ quan, binh sĩ phục vụ tại ngũ, xuất ngũ và thân nhân của hạ sĩ quan, binh sĩ tại ngũ</w:t>
            </w:r>
          </w:p>
        </w:tc>
        <w:tc>
          <w:p/>
          <w:p>
            <w:pPr>
              <w:spacing w:after="0" w:before="0" w:lineRule="auto" w:line="276"/>
              <w:jc w:val="left"/>
            </w:pPr>
            <w:r>
              <w:rPr>
                <w:rFonts w:ascii="Times New Roman" w:hAnsi="Times New Roman" w:cs="Times New Roman" w:eastAsia="Times New Roman"/>
                <w:b w:val="false"/>
                <w:sz w:val="26"/>
              </w:rPr>
              <w:t>06-04-2016</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95/2016/TT-BQP</w:t>
            </w:r>
          </w:p>
        </w:tc>
        <w:tc>
          <w:p/>
          <w:p>
            <w:pPr>
              <w:spacing w:after="0" w:before="0" w:lineRule="auto" w:line="276"/>
              <w:jc w:val="left"/>
            </w:pPr>
            <w:r>
              <w:rPr>
                <w:rFonts w:ascii="Times New Roman" w:hAnsi="Times New Roman" w:cs="Times New Roman" w:eastAsia="Times New Roman"/>
                <w:b w:val="false"/>
                <w:sz w:val="26"/>
              </w:rPr>
              <w:t>Hướng dẫn thực hiện một số điều của Nghị định số 27/2016/NĐ-CP ngày 06 tháng 4 năm 2016 của Chính phủ quy định một số chế độ, chính sách đối với hạ sĩ quan, binh sĩ phục vụ tại ngũ, xuất ngũ và thân nhân của hạ sĩ quan, binh sĩ tại ngũ.</w:t>
            </w:r>
          </w:p>
        </w:tc>
        <w:tc>
          <w:p/>
          <w:p>
            <w:pPr>
              <w:spacing w:after="0" w:before="0" w:lineRule="auto" w:line="276"/>
              <w:jc w:val="left"/>
            </w:pPr>
            <w:r>
              <w:rPr>
                <w:rFonts w:ascii="Times New Roman" w:hAnsi="Times New Roman" w:cs="Times New Roman" w:eastAsia="Times New Roman"/>
                <w:b w:val="false"/>
                <w:sz w:val="26"/>
              </w:rPr>
              <w:t>28-06-2016</w:t>
            </w:r>
          </w:p>
        </w:tc>
        <w:tc>
          <w:p/>
          <w:p>
            <w:pPr>
              <w:spacing w:after="0" w:before="0" w:lineRule="auto" w:line="276"/>
              <w:jc w:val="left"/>
            </w:pPr>
            <w:r>
              <w:rPr>
                <w:rFonts w:ascii="Times New Roman" w:hAnsi="Times New Roman" w:cs="Times New Roman" w:eastAsia="Times New Roman"/>
                <w:b w:val="false"/>
                <w:sz w:val="26"/>
              </w:rPr>
              <w:t>Bộ Quốc phòng</w:t>
            </w:r>
          </w:p>
        </w:tc>
      </w:tr>
      <w:tr>
        <w:tc>
          <w:p/>
          <w:p>
            <w:pPr>
              <w:spacing w:after="0" w:before="0" w:lineRule="auto" w:line="276"/>
              <w:jc w:val="left"/>
            </w:pPr>
            <w:r>
              <w:rPr>
                <w:rFonts w:ascii="Times New Roman" w:hAnsi="Times New Roman" w:cs="Times New Roman" w:eastAsia="Times New Roman"/>
                <w:b w:val="false"/>
                <w:sz w:val="26"/>
              </w:rPr>
              <w:t>13/2024/TT-BQP</w:t>
            </w:r>
          </w:p>
        </w:tc>
        <w:tc>
          <w:p/>
          <w:p>
            <w:pPr>
              <w:spacing w:after="0" w:before="0" w:lineRule="auto" w:line="276"/>
              <w:jc w:val="left"/>
            </w:pPr>
            <w:r>
              <w:rPr>
                <w:rFonts w:ascii="Times New Roman" w:hAnsi="Times New Roman" w:cs="Times New Roman" w:eastAsia="Times New Roman"/>
                <w:b w:val="false"/>
                <w:sz w:val="26"/>
              </w:rPr>
              <w:t>Thông tư số 13/2024/TT-BQP ngày 18/3/2024 của Bộ trưởng Bộ Quốc phòng sửa đổi, bổ sung một số điều của các văn bản quy phạm pháp luật thuộc thẩm quyền ban hành của Bộ trưởng Bộ Quốc phòng liên quan đến việc kê khai thông tin cá nhân khi thực hiện thủ tục hành chính</w:t>
            </w:r>
          </w:p>
        </w:tc>
        <w:tc>
          <w:p/>
          <w:p>
            <w:pPr>
              <w:spacing w:after="0" w:before="0" w:lineRule="auto" w:line="276"/>
              <w:jc w:val="left"/>
            </w:pPr>
            <w:r>
              <w:rPr>
                <w:rFonts w:ascii="Times New Roman" w:hAnsi="Times New Roman" w:cs="Times New Roman" w:eastAsia="Times New Roman"/>
                <w:b w:val="false"/>
                <w:sz w:val="26"/>
              </w:rPr>
              <w:t>18-03-2024</w:t>
            </w:r>
          </w:p>
        </w:tc>
        <w:tc>
          <w:p/>
          <w:p>
            <w:pPr>
              <w:spacing w:after="0" w:before="0" w:lineRule="auto" w:line="276"/>
              <w:jc w:val="left"/>
            </w:pPr>
            <w:r>
              <w:rPr>
                <w:rFonts w:ascii="Times New Roman" w:hAnsi="Times New Roman" w:cs="Times New Roman" w:eastAsia="Times New Roman"/>
                <w:b w:val="false"/>
                <w:sz w:val="26"/>
              </w:rPr>
              <w:t>Bộ trưởng Bộ Quốc phòng</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Gia đình của hạ sĩ quan, binh sĩ tại ngũ gặp tai nạn, hỏa hoạn, thiên tai dẫn đến bị sập nhà, trôi nhà, cháy nhà hoặc phải di dời chỗ ở;
- Bố, mẹ đẻ; bố, mẹ vợ hoặc bố, mẹ chồng; người nuôi dưỡng hợp pháp; vợ hoặc chồng; con đẻ, con nuôi hợp pháp ốm đau từ một tháng trở lên hoặc điều trị một lần tại bệnh viện từ 07 ngày trở lên;
- Bố, mẹ đẻ; bố, mẹ vợ hoặc bố, mẹ chồng; người nuôi dưỡng hợp pháp; vợ hoặc chồng; con đẻ, con nuôi hợp pháp hy sinh, từ trần.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2026-05-15T16:13:54Z</dcterms:created>
  <dc:creator>Apache POI</dc:creator>
</cp:coreProperties>
</file>