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miễn thị thực cho người Việt Nam định cư ở nước ngoài và người nước ngoài là vợ, chồng, con của người Việt Nam định cư ở nước ngoài hoặc của công dân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Bước1: Chuẩn bị hồ sơ theo quy định.</w:t>
      </w:r>
    </w:p>
    <w:p>
      <w:pPr>
        <w:spacing w:after="0" w:before="0" w:lineRule="auto" w:line="276"/>
        <w:jc w:val="both"/>
      </w:pPr>
      <w:r>
        <w:rPr>
          <w:rFonts w:ascii="Times New Roman" w:hAnsi="Times New Roman" w:cs="Times New Roman" w:eastAsia="Times New Roman"/>
          <w:b w:val="false"/>
          <w:sz w:val="26"/>
        </w:rPr>
        <w:t>Bước 2: Nộp hồ sơ vào giờ hành chính các ngày làm việc trong tuần tại một trong hai trụ sở của Cục Quản lý xuất nhập cảnh - Bộ Công an:
+ Số 44-46 đường Trần Phú, quận Ba Đình, thành phố Hà Nội.
+ Số 333-335-337 đường Nguyễn Trãi, Quận 1, Thành phố Hồ Chí Minh.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tiếp nhận hồ sơ kiểm tra tính pháp lý và nội dung hồ sơ: 
+ Trường hợp hồ sơ đã đầy đủ, hợp lệ thì cấp giấy hẹn trả kết quả cho người đề nghị cấp giấy miễn thị thực; yêu cầu nộp phí cho cán bộ thu phí, cán bộ thu phí thu tiền, giao biên lai thu tiền cho người đề nghị cấp giấy miễn thị thực hoặc thông báo trên Cổng dịch vụ công quốc gia hoặc Cổng dịch vụ công Bộ Công an để người đề nghị cấp giấy miễn thị thực thanh toán trực tuyến và nhận biên lai điện tử.
+ Nếu hồ sơ thiếu hoặc không hợp lệ thì cán bộ tiếp nhận hồ sơ hướng dẫn hoặc thông báo trên Cổng dịch vụ công quốc gia hoặc Cổng dịch vụ công Bộ Công an để người nộp hồ sơ hoàn chỉnh.
+ Trường hợp hồ sơ không đủ điều kiện thì không tiếp nhận hồ sơ, trả lời bằng văn bản hoặc thông báo trên Cổng dịch vụ công quốc gia hoặc Cổng dịch vụ công Bộ Công an và nêu rõ lý do.
* Trường hợp nộp hồ sơ trực tuyến, người đề nghị cấp giấy miễn thị thực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Trả kết quả:
+ Người đến nhận kết quả trực tiếp nhận kết quả tại Cục Quản lý xuất nhập cảnh; khi đến nhận kết quả mang theo giấy hẹn trả kết quả, giấy tờ tùy thân để kiểm tra, đối chiếu.  Trường hợp đề nghị nhận kết quả qua dịch vụ bưu chính thực hiện theo hướng dẫn của cơ quan cung cấp dịch vụ bưu chính.
+ Trường hợp không đồng ý cấp giấy miễn thị thực thì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 USD</w:t>
              <w:t xml:space="preserve"> (10USD/giấy)</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 USD</w:t>
              <w:t xml:space="preserve"> (10USD/giấy)</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 USD</w:t>
              <w:t xml:space="preserve"> (10USD/giấy)</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hoặc giấy tờ có giá trị đi lại quốc tế hoặc giấy tờ cho phép thường trú do cơ quan có thẩm quyền của nước ngoài cấp cho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Tờ khai đề nghị cấp Giấy miễn thị thực (Mẫu NA9)</w:t>
            </w:r>
          </w:p>
        </w:tc>
        <w:tc>
          <w:p/>
          <w:p>
            <w:pPr>
              <w:spacing w:after="0" w:before="0" w:lineRule="auto" w:line="276"/>
              <w:jc w:val="left"/>
            </w:pPr>
            <w:r>
              <w:rPr>
                <w:rFonts w:ascii="Times New Roman" w:hAnsi="Times New Roman" w:cs="Times New Roman" w:eastAsia="Times New Roman"/>
                <w:b w:val="false"/>
                <w:sz w:val="26"/>
              </w:rPr>
              <w:t>10-Mẫu NA9.doc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mới chụp, cỡ 4cm x 6cm, phông nền trắng, mặt nhìn thẳng, đầu để trần, không đeo kính màu (01 ảnh dán vào tờ khai, 01 ảnh để rời).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thuộc diện được cấp giấy miễn thị thực: Người Việt Nam định cư ở nước ngoài nộp bản sao được chứng thực từ bản chính hoặc kèm theo bản chính để đối chiếu một trong các giấy tờ sau: Giấy khai sinh, quyết định cho thôi quốc tịch Việt Nam hoặc giấy xác nhận mất quốc tịch Việt Nam, giấy tờ khác có ghi quốc tịch Việt Nam hoặc có giá trị chứng minh quốc tịch Việt Nam trước đây của người đó. Người nước ngoài nộp bản sao được chứng thực từ bản chính hoặc kèm theo bản chính để đối chiếu giấy tờ chứng minh là vợ, chồng, con của công dân Việt Nam hoặc của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hộ chiếu hoặc giấy tờ có giá trị đi lại quốc tế hoặc giấy tờ cho phép thường trú do cơ quan có thẩm quyền của nước ngoài cấp cho người Việt Nam định cư ở nước ngoài phải gửi qua dịch vụ bưu chính công ích về cơ quan tiếp nhận; thành phần hồ sơ khác phải được chứng thực điện tử theo quy định, trường hợp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miễn thị thực dán vào hộ chiếu hoặc cấp rời trong một số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47/2014/QH13</w:t>
            </w:r>
          </w:p>
        </w:tc>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17-06-2014</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82/2015/NĐ-CP</w:t>
            </w:r>
          </w:p>
        </w:tc>
        <w:tc>
          <w:p/>
          <w:p>
            <w:pPr>
              <w:spacing w:after="0" w:before="0" w:lineRule="auto" w:line="276"/>
              <w:jc w:val="left"/>
            </w:pPr>
            <w:r>
              <w:rPr>
                <w:rFonts w:ascii="Times New Roman" w:hAnsi="Times New Roman" w:cs="Times New Roman" w:eastAsia="Times New Roman"/>
                <w:b w:val="false"/>
                <w:sz w:val="26"/>
              </w:rPr>
              <w:t>Nghị định 82/2015/NĐ-CP</w:t>
            </w:r>
          </w:p>
        </w:tc>
        <w:tc>
          <w:p/>
          <w:p>
            <w:pPr>
              <w:spacing w:after="0" w:before="0" w:lineRule="auto" w:line="276"/>
              <w:jc w:val="left"/>
            </w:pPr>
            <w:r>
              <w:rPr>
                <w:rFonts w:ascii="Times New Roman" w:hAnsi="Times New Roman" w:cs="Times New Roman" w:eastAsia="Times New Roman"/>
                <w:b w:val="false"/>
                <w:sz w:val="26"/>
              </w:rPr>
              <w:t>24-09-2015</w:t>
            </w:r>
          </w:p>
        </w:tc>
        <w:tc>
          <w:p/>
        </w:tc>
      </w:tr>
      <w:tr>
        <w:tc>
          <w:p/>
          <w:p>
            <w:pPr>
              <w:spacing w:after="0" w:before="0" w:lineRule="auto" w:line="276"/>
              <w:jc w:val="left"/>
            </w:pPr>
            <w:r>
              <w:rPr>
                <w:rFonts w:ascii="Times New Roman" w:hAnsi="Times New Roman" w:cs="Times New Roman" w:eastAsia="Times New Roman"/>
                <w:b w:val="false"/>
                <w:sz w:val="26"/>
              </w:rPr>
              <w:t>04/2015/TT-BCA</w:t>
            </w:r>
          </w:p>
        </w:tc>
        <w:tc>
          <w:p/>
          <w:p>
            <w:pPr>
              <w:spacing w:after="0" w:before="0" w:lineRule="auto" w:line="276"/>
              <w:jc w:val="left"/>
            </w:pPr>
            <w:r>
              <w:rPr>
                <w:rFonts w:ascii="Times New Roman" w:hAnsi="Times New Roman" w:cs="Times New Roman" w:eastAsia="Times New Roman"/>
                <w:b w:val="false"/>
                <w:sz w:val="26"/>
              </w:rPr>
              <w:t>Thông tư 04/2015/TT-BCA</w:t>
            </w:r>
          </w:p>
        </w:tc>
        <w:tc>
          <w:p/>
          <w:p>
            <w:pPr>
              <w:spacing w:after="0" w:before="0" w:lineRule="auto" w:line="276"/>
              <w:jc w:val="left"/>
            </w:pPr>
            <w:r>
              <w:rPr>
                <w:rFonts w:ascii="Times New Roman" w:hAnsi="Times New Roman" w:cs="Times New Roman" w:eastAsia="Times New Roman"/>
                <w:b w:val="false"/>
                <w:sz w:val="26"/>
              </w:rPr>
              <w:t>06-01-2015</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hộ chiếu hoặc giấy tờ có giá trị đi lại quốc tế còn giá trị ít nhất 01 năm.
+ Có giấy tờ chứng minh là người Việt Nam định cư ở nước ngoài và người nước ngoài là vợ, chồng, con của người Việt Nam định cư ở nước ngoài hoặc của công dân Việt Nam.
+ Không thuộc các trường hợp chưa cho nhập cảnh và tạm hoãn xuất cảnh theo quy định tại Điều 21 và Điều 28 của Luật Nhập cảnh, xuất cảnh, quá cảnh, cư trú của người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2026-05-21T16:39:00Z</dcterms:created>
  <dc:creator>Apache POI</dc:creator>
</cp:coreProperties>
</file>