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1.003167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đăng ký hoạt động giám định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doanh nghiệp có nhu cầu đăng ký hoạt động giám định:</w:t>
      </w:r>
    </w:p>
    <w:p>
      <w:pPr>
        <w:spacing w:after="0" w:before="0" w:lineRule="auto" w:line="276"/>
        <w:jc w:val="both"/>
      </w:pPr>
      <w:r>
        <w:rPr>
          <w:rFonts w:ascii="Times New Roman" w:hAnsi="Times New Roman" w:cs="Times New Roman" w:eastAsia="Times New Roman"/>
          <w:b w:val="false"/>
          <w:sz w:val="26"/>
        </w:rPr>
        <w:t>- Đối với chất lượng sản phẩm, hàng hóa thuộc trách nhiệm quản lý nhà nước của Bộ Khoa học và Công nghệ hoặc giám định chất lượng sản phẩm, hàng hóa tổng hợp đa ngành thuộc trách nhiệm quản lý từ hai bộ quản lý ngành, lĩnh vực trở lên, hồ sơ đăng ký gửi về Bộ Khoa học và Công nghệ (Tổng cục Tiêu chuẩn Đo lường Chất lượng – Cơ quan tiếp nhận hồ sơ)</w:t>
      </w:r>
    </w:p>
    <w:p>
      <w:pPr>
        <w:spacing w:after="0" w:before="0" w:lineRule="auto" w:line="276"/>
        <w:jc w:val="both"/>
      </w:pPr>
      <w:r>
        <w:rPr>
          <w:rFonts w:ascii="Times New Roman" w:hAnsi="Times New Roman" w:cs="Times New Roman" w:eastAsia="Times New Roman"/>
          <w:b w:val="false"/>
          <w:sz w:val="26"/>
        </w:rPr>
        <w:t>- Đối với chất lượng sản phẩm, hàng hóa chuyên ngành thuộc trách nhiệm quản lý nhà nước của một bộ quản lý ngành, lĩnh vực theo chức năng, nhiệm vụ quyền hạn được phân công, hồ sơ đăng ký gửi về Bộ, quản lý ngành, lĩnh vực (Cơ quan tiếp nhận hồ sơ do Bộ quản lý ngành, lĩnh vực phân công).</w:t>
      </w:r>
    </w:p>
    <w:p>
      <w:pPr>
        <w:spacing w:after="0" w:before="0" w:lineRule="auto" w:line="276"/>
        <w:jc w:val="both"/>
      </w:pPr>
      <w:r>
        <w:rPr>
          <w:rFonts w:ascii="Times New Roman" w:hAnsi="Times New Roman" w:cs="Times New Roman" w:eastAsia="Times New Roman"/>
          <w:b w:val="false"/>
          <w:sz w:val="26"/>
        </w:rPr>
        <w:t>Bước 2: Xử lý hồ sơ
Cơ quan tiếp nhận hồ sơ xem xét, thẩm định theo quy định:</w:t>
      </w:r>
    </w:p>
    <w:p>
      <w:pPr>
        <w:spacing w:after="0" w:before="0" w:lineRule="auto" w:line="276"/>
        <w:jc w:val="both"/>
      </w:pPr>
      <w:r>
        <w:rPr>
          <w:rFonts w:ascii="Times New Roman" w:hAnsi="Times New Roman" w:cs="Times New Roman" w:eastAsia="Times New Roman"/>
          <w:b w:val="false"/>
          <w:sz w:val="26"/>
        </w:rPr>
        <w:t>- Trường hợp hồ sơ không đầy đủ theo quy định, Cơ quan tiếp nhận hồ sơ thông báo bằng văn bản yêu cầu tổ chức giám định sửa đổi, bổ sung.</w:t>
      </w:r>
    </w:p>
    <w:p>
      <w:pPr>
        <w:spacing w:after="0" w:before="0" w:lineRule="auto" w:line="276"/>
        <w:jc w:val="both"/>
      </w:pPr>
      <w:r>
        <w:rPr>
          <w:rFonts w:ascii="Times New Roman" w:hAnsi="Times New Roman" w:cs="Times New Roman" w:eastAsia="Times New Roman"/>
          <w:b w:val="false"/>
          <w:sz w:val="26"/>
        </w:rPr>
        <w:t>- Trường hợp hồ sơ đầy đủ và hợp lệ, Bộ quản lý ngành, lĩnh vực chịu trách nhiệm cấp Giấy chứng nhận cho tổ chức giám định.</w:t>
      </w:r>
    </w:p>
    <w:p>
      <w:pPr>
        <w:spacing w:after="0" w:before="0" w:lineRule="auto" w:line="276"/>
        <w:jc w:val="both"/>
      </w:pPr>
      <w:r>
        <w:rPr>
          <w:rFonts w:ascii="Times New Roman" w:hAnsi="Times New Roman" w:cs="Times New Roman" w:eastAsia="Times New Roman"/>
          <w:b w:val="false"/>
          <w:sz w:val="26"/>
        </w:rPr>
        <w:t>Bước 3: Trả kết quả
Trả kết quả trực tiếp tại trụ sở Cơ quan tiếp nhận hồ sơ hoặc theo đường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hiện hành của pháp luật về phí, lệ phí)</w:t>
            </w:r>
          </w:p>
        </w:tc>
        <w:tc>
          <w:p/>
          <w:p>
            <w:pPr>
              <w:spacing w:after="0" w:before="0" w:lineRule="auto" w:line="276"/>
              <w:jc w:val="left"/>
            </w:pPr>
            <w:r>
              <w:rPr>
                <w:rFonts w:ascii="Times New Roman" w:hAnsi="Times New Roman" w:cs="Times New Roman" w:eastAsia="Times New Roman"/>
                <w:b w:val="false"/>
                <w:sz w:val="26"/>
              </w:rPr>
              <w:t>- Trường hợp hồ sơ không đầy đủ theo quy định, trong thời hạn 05 ngày làm việc, kể từ ngày nhận được hồ sơ, Cơ quan tiếp nhận hồ sơ thông báo bằng văn bản yêu cầu tổ chức giám định sửa đổi, bổ sung.
- Trường hợp hồ sơ đầy đủ và hợp lệ, trong thời hạn 10 ngày làm việc, kể từ khi nhận được hồ sơ, Cơ quan tiếp nhận hồ sơ chịu trách nhiệm cấp Giấy chứng nhận cho tổ chức giám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hiện hành của pháp luật về phí, lệ phí)</w:t>
            </w:r>
          </w:p>
        </w:tc>
        <w:tc>
          <w:p/>
          <w:p>
            <w:pPr>
              <w:spacing w:after="0" w:before="0" w:lineRule="auto" w:line="276"/>
              <w:jc w:val="left"/>
            </w:pPr>
            <w:r>
              <w:rPr>
                <w:rFonts w:ascii="Times New Roman" w:hAnsi="Times New Roman" w:cs="Times New Roman" w:eastAsia="Times New Roman"/>
                <w:b w:val="false"/>
                <w:sz w:val="26"/>
              </w:rPr>
              <w:t>- Trường hợp hồ sơ không đầy đủ theo quy định, trong thời hạn 05 ngày làm việc, kể từ ngày nhận được hồ sơ, Cơ quan tiếp nhận hồ sơ thông báo bằng văn bản yêu cầu tổ chức giám định sửa đổi, bổ sung.
- Trường hợp hồ sơ đầy đủ và hợp lệ, trong thời hạn 10 ngày làm việc, kể từ khi nhận được hồ sơ, Cơ quan tiếp nhận hồ sơ chịu trách nhiệm cấp Giấy chứng nhận cho tổ chức giám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hoạt động giám định;</w:t>
            </w:r>
          </w:p>
        </w:tc>
        <w:tc>
          <w:p/>
          <w:p>
            <w:pPr>
              <w:spacing w:after="0" w:before="0" w:lineRule="auto" w:line="276"/>
              <w:jc w:val="left"/>
            </w:pPr>
            <w:r>
              <w:rPr>
                <w:rFonts w:ascii="Times New Roman" w:hAnsi="Times New Roman" w:cs="Times New Roman" w:eastAsia="Times New Roman"/>
                <w:b w:val="false"/>
                <w:sz w:val="26"/>
              </w:rPr>
              <w:t>ĐƠN ĐĂNG KÝ HOẠT ĐỘNG GIÁM ĐỊNH.docx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thành lập hoặc Giấy chứng nhận đăng ký doanh nghiệp hoặc Giấy chứng nhận đăng ký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giám định viên và các chứng chỉ, tài liệu liên quan đối với mỗi kiểm định viên gồm: Bản sao Quyết định tuyển dụng hoặc Hợp đồng lao động; bản sao chứng chỉ đào tạo tương ứng quy định tại khoản 3 Điều 13 Nghị định 107/2016/NĐ-CP và tài liệu chứng minh kinh nghiệm giám định chất lượng sản phẩm, hàng hóa của giám định viên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năng lực hoạt động giám định đáp ứng các yêu cầu quy định trong tiêu chuẩn quốc gia TCVN ISO/IEC 17020:2012 hoặc tiêu chuẩn quốc tế ISO/IEC 17020:2012 hoặc các tiêu chuẩn quốc gia, tiêu chuẩn quốc tế đối với giám định chuyên ngành: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chỉ công nhận kèm theo phạm vi được công nhận đối với trường hợp tổ chức giám định đã được tổ chức công nhận quy định tại Điều 21 Nghị định 107/2016/NĐ-CP hoặc tổ chức công nhận nước ngoài quy định tại Điều 25 Nghị định 107/2016/NĐ-CP;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tổ chức giám định đã được tổ chức công nhận quy định tại Điều 21 Nghị định 107/2016/NĐ-CP hoặc tổ chức công nhận nước ngoài quy định tại Điều 25 Nghị định 107/2016/NĐ-CP công nhận nhưng có phạm vi đăng ký hoạt động rộng hơn phạm vi được công nhận, tổ chức giám định nộp bản sao Chứng chỉ công nhận kèm theo phạm vi được công nhận và các tài liệu, quy trình giám định, các tài liệu khác liên quan để chứng minh năng lực hoạt động phù hợp với các yêu cầu của tiêu chuẩn tương ứng quy định tại khoản 2 Điều 13 Nghị định 107/2016/NĐ-CP đối với phạm vi chưa được công nhận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Mẫu Chứng thư giám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Tổng cục Tiêu chuẩn Đo lường Chất lượng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Tổng cục Tiêu chuẩn Đo lường Chất lượng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tiếp nhận hồ sơ do Bộ quản lý ngành, lĩnh vực phân công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giám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Chất lượng sản phẩm, hàng hoá</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 - Quy định chi tiết thi hành một số điều của Luật chất lượng sản phẩm, hàng hóa</w:t>
            </w:r>
          </w:p>
        </w:tc>
        <w:tc>
          <w:p/>
          <w:p>
            <w:pPr>
              <w:spacing w:after="0" w:before="0" w:lineRule="auto" w:line="276"/>
              <w:jc w:val="left"/>
            </w:pPr>
            <w:r>
              <w:rPr>
                <w:rFonts w:ascii="Times New Roman" w:hAnsi="Times New Roman" w:cs="Times New Roman" w:eastAsia="Times New Roman"/>
                <w:b w:val="false"/>
                <w:sz w:val="26"/>
              </w:rPr>
              <w:t>31-12-2008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107/2016/NĐ-CP</w:t>
            </w:r>
          </w:p>
        </w:tc>
        <w:tc>
          <w:p/>
          <w:p>
            <w:pPr>
              <w:spacing w:after="0" w:before="0" w:lineRule="auto" w:line="276"/>
              <w:jc w:val="left"/>
            </w:pPr>
            <w:r>
              <w:rPr>
                <w:rFonts w:ascii="Times New Roman" w:hAnsi="Times New Roman" w:cs="Times New Roman" w:eastAsia="Times New Roman"/>
                <w:b w:val="false"/>
                <w:sz w:val="26"/>
              </w:rPr>
              <w:t>Thủ tục cấp bổ sung, sửa đổi Giấy chứng nhận đăng ký hoạt động giám định</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154/2018/NĐ-CP</w:t>
            </w:r>
          </w:p>
        </w:tc>
        <w:tc>
          <w:p/>
          <w:p>
            <w:pPr>
              <w:spacing w:after="0" w:before="0" w:lineRule="auto" w:line="276"/>
              <w:jc w:val="left"/>
            </w:pPr>
            <w:r>
              <w:rPr>
                <w:rFonts w:ascii="Times New Roman" w:hAnsi="Times New Roman" w:cs="Times New Roman" w:eastAsia="Times New Roman"/>
                <w:b w:val="false"/>
                <w:sz w:val="26"/>
              </w:rPr>
              <w:t>Nghị định 154/2018/NĐ-CP-Sửa đổi, bổ sung, bãi bỏ một số quy định về điều kiện đầu tư, kinh doanh trong lĩnh vực quản lý nhà nước của Bộ Khoa học và Công nghệ và một số quy định về kiểm tra chuyên ngành</w:t>
            </w:r>
          </w:p>
        </w:tc>
        <w:tc>
          <w:p/>
          <w:p>
            <w:pPr>
              <w:spacing w:after="0" w:before="0" w:lineRule="auto" w:line="276"/>
              <w:jc w:val="left"/>
            </w:pPr>
            <w:r>
              <w:rPr>
                <w:rFonts w:ascii="Times New Roman" w:hAnsi="Times New Roman" w:cs="Times New Roman" w:eastAsia="Times New Roman"/>
                <w:b w:val="false"/>
                <w:sz w:val="26"/>
              </w:rPr>
              <w:t>09-11-2018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 tổ chức được thành lập theo quy định của pháp luật.;
- Có hệ thống quản lý và năng lực hoạt động đáp ứng các yêu cầu quy định trong tiêu chuẩn quốc gia TCVN ISO/IEC 17020:2012 hoặc tiêu chuẩn quốc tế ISO/IEC 17020:2012 hoặc tiêu chuẩn quốc gia, tiêu chuẩn quốc tế đối với giám định chuyên ngành;
- Có ít nhất 04 giám định viên chính thức của tổ chức (viên chức hoặc lao động ký hợp đồng có thời hạn từ 12 tháng trở lên hoặc lao động ký hợp đồng không xác định thời hạn), đáp ứng điều kiện:
+ Có trình độ tốt nghiệp cao đẳng trở lên và chuyên môn phù hợp đối với sản phẩm, hàng hóa giám định;
+ Được đào tạo về tiêu chuẩn quốc gia TCVN ISO/IEC 17020:2012 hoặc tiêu chuẩn quốc tế ISO/IEC 17020:2012 hoặc tiêu chuẩn quốc gia, tiêu chuẩn quốc tế đối với giám định chuyên ngành;
+ Có kinh nghiệm ít nhất 02 năm làm công tác giám định chất lượng sản phẩm, hàng hóa.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2026-05-12T16:18:44Z</dcterms:created>
  <dc:creator>Apache POI</dc:creator>
</cp:coreProperties>
</file>