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hoạt động của cơ sở hỗ trợ nạn nhân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sở hỗ trợ nạn nhân bạo lực gia đình do các tổ chức, cá nhân trong nước thành lập đã được Uỷ ban nhân dân cấp huyện cấp Giấy chứng nhận đăng ký hoạt động nếu có sự thay đổi về tên gọi, địa chỉ đặt trụ sở, người đứng đầu, nội dung hoạt động thì nộp hồ sơ đề nghị đổi Giấy chứng nhận đăng ký hoạt động tại Phòng Văn hóa và Thông tin. </w:t>
      </w:r>
    </w:p>
    <w:p>
      <w:pPr>
        <w:spacing w:after="0" w:before="0" w:lineRule="auto" w:line="276"/>
        <w:jc w:val="both"/>
      </w:pPr>
      <w:r>
        <w:rPr>
          <w:rFonts w:ascii="Times New Roman" w:hAnsi="Times New Roman" w:cs="Times New Roman" w:eastAsia="Times New Roman"/>
          <w:b w:val="false"/>
          <w:sz w:val="26"/>
        </w:rPr>
        <w:t xml:space="preserve">- Phòng Văn hóa và Thông tin tiếp nhận hồ sơ và cấp giấy biên nhận cho bên nộp hồ sơ. </w:t>
      </w:r>
    </w:p>
    <w:p>
      <w:pPr>
        <w:spacing w:after="0" w:before="0" w:lineRule="auto" w:line="276"/>
        <w:jc w:val="both"/>
      </w:pPr>
      <w:r>
        <w:rPr>
          <w:rFonts w:ascii="Times New Roman" w:hAnsi="Times New Roman" w:cs="Times New Roman" w:eastAsia="Times New Roman"/>
          <w:b w:val="false"/>
          <w:sz w:val="26"/>
        </w:rPr>
        <w:t xml:space="preserve">- Trong thời hạn 10 ngày làm việc kể từ ngày nhận đủ hồ sơ hợp lệ, Phòng Văn hoá, Thông tin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khi có kết quả thẩm định, cơ quan thẩm định phải gửi một bộ hồ sơ và biên bản thẩm định tới Uỷ ban nhân dân cấp huyện. </w:t>
      </w:r>
    </w:p>
    <w:p>
      <w:pPr>
        <w:spacing w:after="0" w:before="0" w:lineRule="auto" w:line="276"/>
        <w:jc w:val="both"/>
      </w:pPr>
      <w:r>
        <w:rPr>
          <w:rFonts w:ascii="Times New Roman" w:hAnsi="Times New Roman" w:cs="Times New Roman" w:eastAsia="Times New Roman"/>
          <w:b w:val="false"/>
          <w:sz w:val="26"/>
        </w:rPr>
        <w:t xml:space="preserve">- Trong thời hạn 07 ngày làm việc kể từ khi nhận đủ hồ sơ và biên bản thẩm định, Uỷ ban nhân dân cấp huyện có trách nhiệm đổi Giấy chứng nhận đăng ký hoạt động cho cơ sở hỗ trợ nạn nhân bạo lực gia đình. Trường hợp từ chối đổi Giấy chứng nhận đăng ký hoạt động thì Uỷ ban nhân dân cấp huyện phải nêu rõ lý do bằng văn bản. </w:t>
      </w:r>
    </w:p>
    <w:p>
      <w:pPr>
        <w:spacing w:after="0" w:before="0" w:lineRule="auto" w:line="276"/>
        <w:jc w:val="both"/>
      </w:pPr>
      <w:r>
        <w:rPr>
          <w:rFonts w:ascii="Times New Roman" w:hAnsi="Times New Roman" w:cs="Times New Roman" w:eastAsia="Times New Roman"/>
          <w:b w:val="false"/>
          <w:sz w:val="26"/>
        </w:rPr>
        <w:t xml:space="preserve">- Quy chế hoạt động sửa đổi, bổ sung của cơ sở hỗ trợ nạn nhân bạo lực gia đình được cơ quan cấp Giấy chứng nhận đăng ký hoạt động phê duyệt đồng thời với việc cấp Giấy chứng nhận đăng ký hoạt động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đổi Giấy chứng nhận đăng ký hoạt động;</w:t>
            </w:r>
          </w:p>
        </w:tc>
        <w:tc>
          <w:p/>
          <w:p>
            <w:pPr>
              <w:spacing w:after="0" w:before="0" w:lineRule="auto" w:line="276"/>
              <w:jc w:val="left"/>
            </w:pPr>
            <w:r>
              <w:rPr>
                <w:rFonts w:ascii="Times New Roman" w:hAnsi="Times New Roman" w:cs="Times New Roman" w:eastAsia="Times New Roman"/>
                <w:b w:val="false"/>
                <w:sz w:val="26"/>
              </w:rPr>
              <w:t>Mẫu đổi GCN.CS hỗ trợ nạn nhân 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hoạt động đã được cấp cho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giấy tờ liên quan đến nội dung thay đổi (tên gọi, địa chỉ, người đứng đầu, nội dung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Dự thảo Quy chế hoạt động sửa đổi, bổ sung của cơ sở (nếu có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2026-05-22T17:49:53Z</dcterms:created>
  <dc:creator>Apache POI</dc:creator>
</cp:coreProperties>
</file>