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kiểm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kiểm định được Bộ, quản lý ngành lĩnh vực cấp Giấy chứng nhận đăng ký hoạt động kiểm định có nhu cầu cấp lại Giấy chứng nhận chuẩn bị hồ sơ theo quy định và gửi hồ sơ qua đường bưu điện hoặc nộp trực tiếp tại trụ sở hoặc qua Cổng dịch vụ công trực tuyến của Cơ quan tiếp nhận hồ sơ thuộc Bộ, quản lý ngành lĩnh vực.</w:t>
      </w:r>
    </w:p>
    <w:p>
      <w:pPr>
        <w:spacing w:after="0" w:before="0" w:lineRule="auto" w:line="276"/>
        <w:jc w:val="both"/>
      </w:pPr>
      <w:r>
        <w:rPr>
          <w:rFonts w:ascii="Times New Roman" w:hAnsi="Times New Roman" w:cs="Times New Roman" w:eastAsia="Times New Roman"/>
          <w:b w:val="false"/>
          <w:sz w:val="26"/>
        </w:rPr>
        <w:t>Bước 2: Xử lý hồ sơ
Cơ quan tiếp nhận hồ sơ, xem xét, thẩm định theo quy định:</w:t>
      </w:r>
    </w:p>
    <w:p>
      <w:pPr>
        <w:spacing w:after="0" w:before="0" w:lineRule="auto" w:line="276"/>
        <w:jc w:val="both"/>
      </w:pPr>
      <w:r>
        <w:rPr>
          <w:rFonts w:ascii="Times New Roman" w:hAnsi="Times New Roman" w:cs="Times New Roman" w:eastAsia="Times New Roman"/>
          <w:b w:val="false"/>
          <w:sz w:val="26"/>
        </w:rPr>
        <w:t>- Trường hợp hồ sơ không đáp ứng yêu cầu, Cơ quan tiếp nhận hồ sơ thông báo bằng văn bản và nêu rõ lý do.</w:t>
      </w:r>
    </w:p>
    <w:p>
      <w:pPr>
        <w:spacing w:after="0" w:before="0" w:lineRule="auto" w:line="276"/>
        <w:jc w:val="both"/>
      </w:pPr>
      <w:r>
        <w:rPr>
          <w:rFonts w:ascii="Times New Roman" w:hAnsi="Times New Roman" w:cs="Times New Roman" w:eastAsia="Times New Roman"/>
          <w:b w:val="false"/>
          <w:sz w:val="26"/>
        </w:rPr>
        <w:t>- Trường hợp hồ sơ đầy đủ và hợp lệ, Bộ quản lý ngành lĩnh vực chịu trách nhiệm cấp lại Giấy chứng nhận cho tổ chức kiểm định.</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Cơ quan tiếp nhận hồ sơ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đầy đủ và hợp lệ, Bộ quản lý ngành lĩnh vực chịu trách nhiệm cấp lại Giấy chứng nhận cho tổ chức kiểm định. Trường hợp không đáp ứng yêu cầu, Cơ quan tiếp nhận hồ sơ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đầy đủ và hợp lệ, Bộ quản lý ngành lĩnh vực chịu trách nhiệm cấp lại Giấy chứng nhận cho tổ chức kiểm định. Trường hợp không đáp ứng yêu cầu, Cơ quan tiếp nhận hồ sơ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w:t>
            </w:r>
          </w:p>
        </w:tc>
        <w:tc>
          <w:p/>
          <w:p>
            <w:pPr>
              <w:spacing w:after="0" w:before="0" w:lineRule="auto" w:line="276"/>
              <w:jc w:val="left"/>
            </w:pPr>
            <w:r>
              <w:rPr>
                <w:rFonts w:ascii="Times New Roman" w:hAnsi="Times New Roman" w:cs="Times New Roman" w:eastAsia="Times New Roman"/>
                <w:b w:val="false"/>
                <w:sz w:val="26"/>
              </w:rPr>
              <w:t>Đơn đề nghị cấp lại Giấy chứng nhận hoạt động kiểm định.docx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bị hư hỏng (nếu có) đối với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tiếp nhận hồ sơ do Bộ quản lý ngành, lĩnh vực phân công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kiểm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Thủ tục cấp bổ sung, sửa đổi Giấy chứng nhận đăng ký hoạt động giám định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kiểm định đã được cấp Giấy chứng nhận đăng ký lĩnh vực hoạt động kiểm định còn hiệu lực nhưng bị mất, hư hỏng, hoặc thay đổi tên, địa chỉ của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2026-05-22T16:25:12Z</dcterms:created>
  <dc:creator>Apache POI</dc:creator>
</cp:coreProperties>
</file>