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1.003207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68/QĐ-NHNN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sửa đổi, bổ sung Giấy phép của tổ chức tín dụng phi ngân hàng cổ phần đối với nội dung vốn điều lệ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ngân hàng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Trong thời hạn 10 ngày kể từ ngày hoàn tất việc tăng vốn điều lệ, tổ chức tín dụng phi ngân hàng gửi Ngân hàng Nhà nước hồ sơ chứng minh đã hoàn tất việc tăng vốn điều lệ;
- Bước 2: Trong thời hạn 20 ngày kể từ ngày nhận đủ hồ sơ hợp lệ, Ngân hàng Nhà nước có quyết định sửa đổi, bổ sung Giấy phép đối với nội dung tăng vốn điều lệ của tổ chức tín dụng phi ngân hàng. Trường hợp từ chối, Ngân hàng Nhà nước trả lời bằng văn bản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a) Văn bản đề nghị sửa đổi, bổ sung Giấy phép đối với việc tăng vốn điều lệ của tổ chức tín dụng phi ngân hàng;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 Báo cáo cơ cấu cổ đông sau khi tổ chức tín dụng phi ngân hàng tăng vốn điều lệ, bao gồm: - Danh sách cổ đông và tỷ lệ sở hữu cổ phần của cổ đông có tỷ lệ sở hữu từ 5% trở lên so với vốn cổ phần có quyền biểu quyết và so với vốn điều lệ thời điểm hiện tại và dự kiến sau khi tăng vốn; Danh sách cổ đông và người có liên quan của cổ đông đó có tỷ lệ sở hữu cổ phần từ 10% trở lên so với vốn điều lệ thời điểm hiện tại và dự kiến sau khi tăng vốn. Các danh sách này phải có thông tin sau đây: (i) Đối với cá nhân: Họ và tên; số căn cước hoặc số định danh cá nhân (đối với cá nhân có quốc tịch Việt Nam); số hộ chiếu hoặc giấy tờ có giá trị thay thế hộ chiếu, ngày cấp, nơi cấp (đối với cá nhân không có quốc tịch Việt Nam); (ii) Đối với tổ chức: Tên tổ chức, địa chỉ trụ sở chính, số Giấy phép thành lập hoặc số Giấy chứng nhận đăng ký doanh nghiệp hoặc văn bản tương đương, ngày cấp, nơi cấp; họ và tên, số căn cước hoặc số định danh cá nhân (đối với cá nhân có quốc tịch Việt Nam), số hộ chiếu hoặc giấy tờ có giá trị thay thế hộ chiếu, ngày cấp, nơi cấp (đối với cá nhân không có quốc tịch Việt Nam) của người đại diện hợp pháp của tổ chức; (iii) Số cổ phần và tỷ lệ sở hữu cổ phần so với số cổ phần có quyền biểu quyết và so với vốn điều lệ hiện tại và dự kiến sau khi tổ chức tín dụng phi ngân hàng tăng vốn điều lệ (trong đó nêu rõ số lượng cổ phần phổ thông và số lượng cổ phần ưu đãi); - Báo cáo tổng mức sở hữu cổ phần của nhà đầu tư nước ngoài (cá nhân, tổ chức nước ngoài) hiện tại và dự kiến sau khi tổ chức tín dụng phi ngân hàng tăng vốn điều lệ.</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c) Trường hợp tăng vốn điều lệ từ trái phiếu chuyển đổi, quỹ dự trữ bổ sung vốn điều lệ, quỹ thặng dư vốn cổ phần, lợi nhuận chưa phân phối và các quỹ khác theo quy định của pháp luật, tổ chức tín dụng phi ngân hàng phải nộp kèm văn bản của Ủy ban chứng khoán Nhà nước về việc phát hành cổ phiếu;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d) Trường hợp tăng vốn điều lệ ngoài các trường hợp tăng vốn điều lệ từ trái phiếu chuyển đổi, quỹ dự trữ bổ sung vốn điều lệ, quỹ thặng dư vốn cổ phần, lợi nhuận chưa phân phối và các quỹ khác theo quy định của pháp luật, tổ chức tín dụng phi ngân hàng phải nộp kèm văn bản của Ủy ban chứng khoán Nhà nước về việc chào bán chứng khoán; báo cáo kết quả đợt chào bán chứng khoán; văn bản xác nhận của ngân hàng nơi mở tài khoản phong tỏa về số tiền thu được trong đợt chào bán chứng khoán.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Nhà nước Việt Nam</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Ngân hàng Nhà nước Việt Nam 49 Lý Thái Tổ, Hoàn Kiếm,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sửa đổi, bổ sung Giấy phép đối với nội dung tăng vốn điều lệ của tổ chức tín dụng phi ngân hàng cổ phần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49/2025/TT-NHNN</w:t>
            </w:r>
          </w:p>
        </w:tc>
        <w:tc>
          <w:p/>
          <w:p>
            <w:pPr>
              <w:spacing w:after="0" w:before="0" w:lineRule="auto" w:line="276"/>
              <w:jc w:val="left"/>
            </w:pPr>
            <w:r>
              <w:rPr>
                <w:rFonts w:ascii="Times New Roman" w:hAnsi="Times New Roman" w:cs="Times New Roman" w:eastAsia="Times New Roman"/>
                <w:b w:val="false"/>
                <w:sz w:val="26"/>
              </w:rPr>
              <w:t>Thông tư quy định về hồ sơ, thủ tục chấp thuận những thay đổi của tổ chức tín dụng phi ngân hàng</w:t>
            </w:r>
          </w:p>
        </w:tc>
        <w:tc>
          <w:p/>
          <w:p>
            <w:pPr>
              <w:spacing w:after="0" w:before="0" w:lineRule="auto" w:line="276"/>
              <w:jc w:val="left"/>
            </w:pPr>
            <w:r>
              <w:rPr>
                <w:rFonts w:ascii="Times New Roman" w:hAnsi="Times New Roman" w:cs="Times New Roman" w:eastAsia="Times New Roman"/>
                <w:b w:val="false"/>
                <w:sz w:val="26"/>
              </w:rPr>
              <w:t>16-01-2026</w:t>
            </w:r>
          </w:p>
        </w:tc>
        <w:tc>
          <w:p/>
          <w:p>
            <w:pPr>
              <w:spacing w:after="0" w:before="0" w:lineRule="auto" w:line="276"/>
              <w:jc w:val="left"/>
            </w:pPr>
            <w:r>
              <w:rPr>
                <w:rFonts w:ascii="Times New Roman" w:hAnsi="Times New Roman" w:cs="Times New Roman" w:eastAsia="Times New Roman"/>
                <w:b w:val="false"/>
                <w:sz w:val="26"/>
              </w:rPr>
              <w:t>Ngân hàng Nhà nước Việt Nam</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2026-05-16T23:54:22Z</dcterms:created>
  <dc:creator>Apache POI</dc:creator>
</cp:coreProperties>
</file>