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1.003210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QĐ/0001-NHPTVN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vay vốn tín dụng đầu tư của Nhà nước (Áp dụng đối với cả các dự án vốn nước ngoài NHPT duyệt vay, chịu rủi ro tín dụng): Giải ngân thanh toán khối lượng hoàn thành đối với công việc được thực hiện không thông qua hợp đồng xây dựng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Tín dụng của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Khách hàng gửi hồ sơ đề nghị giải ngân tới chi nhánh NHPT.</w:t>
      </w:r>
    </w:p>
    <w:p>
      <w:pPr>
        <w:spacing w:after="0" w:before="0" w:lineRule="auto" w:line="276"/>
        <w:jc w:val="both"/>
      </w:pPr>
      <w:r>
        <w:rPr>
          <w:rFonts w:ascii="Times New Roman" w:hAnsi="Times New Roman" w:cs="Times New Roman" w:eastAsia="Times New Roman"/>
          <w:b w:val="false"/>
          <w:sz w:val="26"/>
        </w:rPr>
        <w:t>Bước 2: Chi nhánh NHPT tiếp nhận hồ sơ kiểm tra nội dung hồ sơ giải ngân và lập Bảng kê các tài liệu giao nhận hồ sơ giải ngân</w:t>
      </w:r>
    </w:p>
    <w:p>
      <w:pPr>
        <w:spacing w:after="0" w:before="0" w:lineRule="auto" w:line="276"/>
        <w:jc w:val="both"/>
      </w:pPr>
      <w:r>
        <w:rPr>
          <w:rFonts w:ascii="Times New Roman" w:hAnsi="Times New Roman" w:cs="Times New Roman" w:eastAsia="Times New Roman"/>
          <w:b w:val="false"/>
          <w:sz w:val="26"/>
        </w:rPr>
        <w:t>Bước 3: Nếu không đồng ý cấp một phần hoặc toàn bộ khoản vay, Chi nhánh NHPT có văn bản thông báo cho Chủ đầu tư (nêu rõ lý do)</w:t>
      </w:r>
    </w:p>
    <w:p>
      <w:pPr>
        <w:spacing w:after="0" w:before="0" w:lineRule="auto" w:line="276"/>
        <w:jc w:val="both"/>
      </w:pPr>
      <w:r>
        <w:rPr>
          <w:rFonts w:ascii="Times New Roman" w:hAnsi="Times New Roman" w:cs="Times New Roman" w:eastAsia="Times New Roman"/>
          <w:b w:val="false"/>
          <w:sz w:val="26"/>
        </w:rPr>
        <w:t>Bước 4: Nếu chấp thuận: thực hiện giải ngân cho Chủ đầu tư, Chủ đầu tư hoàn chứng từ giải ngân đối với những khoản giải ngân chưa đủ giấy tờ chứng minh mục đích sử dụng tiền vay.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7 ngày làm việc kể từ ngày nhận đầy đủ tài liệu giải ngân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7 ngày làm việc kể từ ngày nhận đầy đủ tài liệu giải ngân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Đối với các công việc của dự án được thực hiện không thông qua hợp đồng (như một số công việc quản lý dự án do chủ đầu tư trực tiếp thực hiện, trường hợp tự thực hiện...):  bảng kê khối lượng công việc hoàn thành và dự toán được duyệt cho từng công việc (bản chính); giấy đề nghị rút vốn của chủ đầu tư và chứng từ chuyển tiền (bản chính).</w:t>
            </w:r>
          </w:p>
        </w:tc>
        <w:tc>
          <w:p/>
          <w:p>
            <w:pPr>
              <w:spacing w:after="0" w:before="0" w:lineRule="auto" w:line="276"/>
              <w:jc w:val="left"/>
            </w:pPr>
            <w:r>
              <w:rPr>
                <w:rFonts w:ascii="Times New Roman" w:hAnsi="Times New Roman" w:cs="Times New Roman" w:eastAsia="Times New Roman"/>
                <w:b w:val="false"/>
                <w:sz w:val="26"/>
              </w:rPr>
              <w:t>Phụ lục số 01.TDĐT.docx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Đối với chi phí đền bù, giải phóng mặt bằng, bồi thường hỗ trợ và tái định cư: bảng kê xác nhận khối lượng đền bù, giải phóng mặt bằng đã thực hiện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dịch, Chi nhánh NHPT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giao dịch, Chi nhánh NHPT</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Giải ngân hoặc từ chối giải ngân, Cho vay vốn tín dụng đầu tư của Nhà nước (Áp dụng đối với cả các dự án vốn nước ngoài NHPT duyệt vay, chịu rủi ro tín dụng): Giải ngân thanh toán khối lượng hoàn thành đối với các công việc được thực hiện thông qua hợp đồng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w:t>
            </w:r>
          </w:p>
        </w:tc>
        <w:tc>
          <w:p/>
          <w:p>
            <w:pPr>
              <w:spacing w:after="0" w:before="0" w:lineRule="auto" w:line="276"/>
              <w:jc w:val="left"/>
            </w:pPr>
            <w:r>
              <w:rPr>
                <w:rFonts w:ascii="Times New Roman" w:hAnsi="Times New Roman" w:cs="Times New Roman" w:eastAsia="Times New Roman"/>
                <w:b w:val="false"/>
                <w:sz w:val="26"/>
              </w:rPr>
              <w:t>Nghị định số 12/2009/NĐ-CP ngày 10/2/2009 của Chính phủ về quản lý dự án đầu tư xây dựng công trình</w:t>
            </w:r>
          </w:p>
        </w:tc>
        <w:tc>
          <w:p/>
          <w:p>
            <w:pPr>
              <w:spacing w:after="0" w:before="0" w:lineRule="auto" w:line="276"/>
              <w:jc w:val="left"/>
            </w:pPr>
            <w:r>
              <w:rPr>
                <w:rFonts w:ascii="Times New Roman" w:hAnsi="Times New Roman" w:cs="Times New Roman" w:eastAsia="Times New Roman"/>
                <w:b w:val="false"/>
                <w:sz w:val="26"/>
              </w:rPr>
              <w:t>01-01-2001</w:t>
            </w:r>
          </w:p>
        </w:tc>
        <w:tc>
          <w:p/>
          <w:p>
            <w:pPr>
              <w:spacing w:after="0" w:before="0" w:lineRule="auto" w:line="276"/>
              <w:jc w:val="left"/>
            </w:pPr>
            <w:r>
              <w:rPr>
                <w:rFonts w:ascii="Times New Roman" w:hAnsi="Times New Roman" w:cs="Times New Roman" w:eastAsia="Times New Roman"/>
                <w:b w:val="false"/>
                <w:sz w:val="26"/>
              </w:rPr>
              <w:t>Ngân hàng phát triển Việt Nam</w:t>
            </w:r>
          </w:p>
        </w:tc>
      </w:tr>
      <w:tr>
        <w:tc>
          <w:p/>
          <w:p>
            <w:pPr>
              <w:spacing w:after="0" w:before="0" w:lineRule="auto" w:line="276"/>
              <w:jc w:val="left"/>
            </w:pPr>
            <w:r>
              <w:rPr>
                <w:rFonts w:ascii="Times New Roman" w:hAnsi="Times New Roman" w:cs="Times New Roman" w:eastAsia="Times New Roman"/>
                <w:b w:val="false"/>
                <w:sz w:val="26"/>
              </w:rPr>
              <w:t>16/2003/QH11</w:t>
            </w:r>
          </w:p>
        </w:tc>
        <w:tc>
          <w:p/>
          <w:p>
            <w:pPr>
              <w:spacing w:after="0" w:before="0" w:lineRule="auto" w:line="276"/>
              <w:jc w:val="left"/>
            </w:pPr>
            <w:r>
              <w:rPr>
                <w:rFonts w:ascii="Times New Roman" w:hAnsi="Times New Roman" w:cs="Times New Roman" w:eastAsia="Times New Roman"/>
                <w:b w:val="false"/>
                <w:sz w:val="26"/>
              </w:rPr>
              <w:t>Luật 16/2003/QH11</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w:t>
            </w:r>
          </w:p>
        </w:tc>
        <w:tc>
          <w:p/>
          <w:p>
            <w:pPr>
              <w:spacing w:after="0" w:before="0" w:lineRule="auto" w:line="276"/>
              <w:jc w:val="left"/>
            </w:pPr>
            <w:r>
              <w:rPr>
                <w:rFonts w:ascii="Times New Roman" w:hAnsi="Times New Roman" w:cs="Times New Roman" w:eastAsia="Times New Roman"/>
                <w:b w:val="false"/>
                <w:sz w:val="26"/>
              </w:rPr>
              <w:t>Luật Đấu thầu</w:t>
            </w:r>
          </w:p>
        </w:tc>
        <w:tc>
          <w:p/>
          <w:p>
            <w:pPr>
              <w:spacing w:after="0" w:before="0" w:lineRule="auto" w:line="276"/>
              <w:jc w:val="left"/>
            </w:pPr>
            <w:r>
              <w:rPr>
                <w:rFonts w:ascii="Times New Roman" w:hAnsi="Times New Roman" w:cs="Times New Roman" w:eastAsia="Times New Roman"/>
                <w:b w:val="false"/>
                <w:sz w:val="26"/>
              </w:rPr>
              <w:t>01-04-2006</w:t>
            </w:r>
          </w:p>
        </w:tc>
        <w:tc>
          <w:p/>
          <w:p>
            <w:pPr>
              <w:spacing w:after="0" w:before="0" w:lineRule="auto" w:line="276"/>
              <w:jc w:val="left"/>
            </w:pPr>
            <w:r>
              <w:rPr>
                <w:rFonts w:ascii="Times New Roman" w:hAnsi="Times New Roman" w:cs="Times New Roman" w:eastAsia="Times New Roman"/>
                <w:b w:val="false"/>
                <w:sz w:val="26"/>
              </w:rPr>
              <w:t>Ngân hàng phát triển Việt Nam</w:t>
            </w:r>
          </w:p>
        </w:tc>
      </w:tr>
      <w:tr>
        <w:tc>
          <w:p/>
          <w:p>
            <w:pPr>
              <w:spacing w:after="0" w:before="0" w:lineRule="auto" w:line="276"/>
              <w:jc w:val="left"/>
            </w:pPr>
            <w:r>
              <w:rPr>
                <w:rFonts w:ascii="Times New Roman" w:hAnsi="Times New Roman" w:cs="Times New Roman" w:eastAsia="Times New Roman"/>
                <w:b w:val="false"/>
                <w:sz w:val="26"/>
              </w:rPr>
              <w:t>106/2008/NĐ-CP</w:t>
            </w:r>
          </w:p>
        </w:tc>
        <w:tc>
          <w:p/>
          <w:p>
            <w:pPr>
              <w:spacing w:after="0" w:before="0" w:lineRule="auto" w:line="276"/>
              <w:jc w:val="left"/>
            </w:pPr>
            <w:r>
              <w:rPr>
                <w:rFonts w:ascii="Times New Roman" w:hAnsi="Times New Roman" w:cs="Times New Roman" w:eastAsia="Times New Roman"/>
                <w:b w:val="false"/>
                <w:sz w:val="26"/>
              </w:rPr>
              <w:t>Nghị định 106/2008/NĐ-CP</w:t>
            </w:r>
          </w:p>
        </w:tc>
        <w:tc>
          <w:p/>
          <w:p>
            <w:pPr>
              <w:spacing w:after="0" w:before="0" w:lineRule="auto" w:line="276"/>
              <w:jc w:val="left"/>
            </w:pPr>
            <w:r>
              <w:rPr>
                <w:rFonts w:ascii="Times New Roman" w:hAnsi="Times New Roman" w:cs="Times New Roman" w:eastAsia="Times New Roman"/>
                <w:b w:val="false"/>
                <w:sz w:val="26"/>
              </w:rPr>
              <w:t>19-09-2008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151/2006/NĐ-CP</w:t>
            </w:r>
          </w:p>
        </w:tc>
        <w:tc>
          <w:p/>
          <w:p>
            <w:pPr>
              <w:spacing w:after="0" w:before="0" w:lineRule="auto" w:line="276"/>
              <w:jc w:val="left"/>
            </w:pPr>
            <w:r>
              <w:rPr>
                <w:rFonts w:ascii="Times New Roman" w:hAnsi="Times New Roman" w:cs="Times New Roman" w:eastAsia="Times New Roman"/>
                <w:b w:val="false"/>
                <w:sz w:val="26"/>
              </w:rPr>
              <w:t>Nghị định 151/2006/NĐ-CP</w:t>
            </w:r>
          </w:p>
        </w:tc>
        <w:tc>
          <w:p/>
          <w:p>
            <w:pPr>
              <w:spacing w:after="0" w:before="0" w:lineRule="auto" w:line="276"/>
              <w:jc w:val="left"/>
            </w:pPr>
            <w:r>
              <w:rPr>
                <w:rFonts w:ascii="Times New Roman" w:hAnsi="Times New Roman" w:cs="Times New Roman" w:eastAsia="Times New Roman"/>
                <w:b w:val="false"/>
                <w:sz w:val="26"/>
              </w:rPr>
              <w:t>20-12-2006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4334/NHPT-TDTW</w:t>
            </w:r>
          </w:p>
        </w:tc>
        <w:tc>
          <w:p/>
          <w:p>
            <w:pPr>
              <w:spacing w:after="0" w:before="0" w:lineRule="auto" w:line="276"/>
              <w:jc w:val="left"/>
            </w:pPr>
            <w:r>
              <w:rPr>
                <w:rFonts w:ascii="Times New Roman" w:hAnsi="Times New Roman" w:cs="Times New Roman" w:eastAsia="Times New Roman"/>
                <w:b w:val="false"/>
                <w:sz w:val="26"/>
              </w:rPr>
              <w:t>Công văn 4334/NHPT-TDTW</w:t>
            </w:r>
          </w:p>
        </w:tc>
        <w:tc>
          <w:p/>
          <w:p>
            <w:pPr>
              <w:spacing w:after="0" w:before="0" w:lineRule="auto" w:line="276"/>
              <w:jc w:val="left"/>
            </w:pPr>
            <w:r>
              <w:rPr>
                <w:rFonts w:ascii="Times New Roman" w:hAnsi="Times New Roman" w:cs="Times New Roman" w:eastAsia="Times New Roman"/>
                <w:b w:val="false"/>
                <w:sz w:val="26"/>
              </w:rPr>
              <w:t>27-12-2007</w:t>
            </w:r>
          </w:p>
        </w:tc>
        <w:tc>
          <w:p/>
          <w:p>
            <w:pPr>
              <w:spacing w:after="0" w:before="0" w:lineRule="auto" w:line="276"/>
              <w:jc w:val="left"/>
            </w:pPr>
            <w:r>
              <w:rPr>
                <w:rFonts w:ascii="Times New Roman" w:hAnsi="Times New Roman" w:cs="Times New Roman" w:eastAsia="Times New Roman"/>
                <w:b w:val="false"/>
                <w:sz w:val="26"/>
              </w:rPr>
              <w:t>Ngân hàng phát triển Việt Nam</w:t>
            </w:r>
          </w:p>
        </w:tc>
      </w:tr>
      <w:tr>
        <w:tc>
          <w:p/>
          <w:p>
            <w:pPr>
              <w:spacing w:after="0" w:before="0" w:lineRule="auto" w:line="276"/>
              <w:jc w:val="left"/>
            </w:pPr>
            <w:r>
              <w:rPr>
                <w:rFonts w:ascii="Times New Roman" w:hAnsi="Times New Roman" w:cs="Times New Roman" w:eastAsia="Times New Roman"/>
                <w:b w:val="false"/>
                <w:sz w:val="26"/>
              </w:rPr>
              <w:t>99/2007/NĐ-CP</w:t>
            </w:r>
          </w:p>
        </w:tc>
        <w:tc>
          <w:p/>
          <w:p>
            <w:pPr>
              <w:spacing w:after="0" w:before="0" w:lineRule="auto" w:line="276"/>
              <w:jc w:val="left"/>
            </w:pPr>
            <w:r>
              <w:rPr>
                <w:rFonts w:ascii="Times New Roman" w:hAnsi="Times New Roman" w:cs="Times New Roman" w:eastAsia="Times New Roman"/>
                <w:b w:val="false"/>
                <w:sz w:val="26"/>
              </w:rPr>
              <w:t>Nghị định 99/2007/NĐ-CP</w:t>
            </w:r>
          </w:p>
        </w:tc>
        <w:tc>
          <w:p/>
          <w:p>
            <w:pPr>
              <w:spacing w:after="0" w:before="0" w:lineRule="auto" w:line="276"/>
              <w:jc w:val="left"/>
            </w:pPr>
            <w:r>
              <w:rPr>
                <w:rFonts w:ascii="Times New Roman" w:hAnsi="Times New Roman" w:cs="Times New Roman" w:eastAsia="Times New Roman"/>
                <w:b w:val="false"/>
                <w:sz w:val="26"/>
              </w:rPr>
              <w:t>13-06-2007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32</w:t>
            </w:r>
          </w:p>
        </w:tc>
        <w:tc>
          <w:p/>
          <w:p>
            <w:pPr>
              <w:spacing w:after="0" w:before="0" w:lineRule="auto" w:line="276"/>
              <w:jc w:val="left"/>
            </w:pPr>
            <w:r>
              <w:rPr>
                <w:rFonts w:ascii="Times New Roman" w:hAnsi="Times New Roman" w:cs="Times New Roman" w:eastAsia="Times New Roman"/>
                <w:b w:val="false"/>
                <w:sz w:val="26"/>
              </w:rPr>
              <w:t>Nghị định về tín dụng đầu tư của Nhà nước</w:t>
            </w:r>
          </w:p>
        </w:tc>
        <w:tc>
          <w:p/>
          <w:p>
            <w:pPr>
              <w:spacing w:after="0" w:before="0" w:lineRule="auto" w:line="276"/>
              <w:jc w:val="left"/>
            </w:pPr>
            <w:r>
              <w:rPr>
                <w:rFonts w:ascii="Times New Roman" w:hAnsi="Times New Roman" w:cs="Times New Roman" w:eastAsia="Times New Roman"/>
                <w:b w:val="false"/>
                <w:sz w:val="26"/>
              </w:rPr>
              <w:t>31-03-2017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Số vốn giải ngân thanh toán hợp đồng xây dựng phải phù hợp với loại hợp đồng, giá hợp đồng và các điều kiện thanh toán trong hợp đồng, các phụ lục hợp đồng, hợp đồng sửa đổi, bổ sung (nếu có) đã ký giữa chủ đầu tư và nhà thầu.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2026-05-04T16:09:31Z</dcterms:created>
  <dc:creator>Apache POI</dc:creator>
</cp:coreProperties>
</file>