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một lần đối với thân nhân của quân nhân trực tiếp tham gia kháng chiến chống Mỹ cứu nước từ ngày 30/4/1975 trở về trước có 20 năm trở lên phục vụ quân đội đã phục viên, xuất ngũ đã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của đối tượng nộp các giấy tờ theo quy định cho Ban Chỉ huy quân sự xã, phường, thị trấn;</w:t>
      </w:r>
    </w:p>
    <w:p>
      <w:pPr>
        <w:spacing w:after="0" w:before="0" w:lineRule="auto" w:line="276"/>
        <w:jc w:val="both"/>
      </w:pPr>
      <w:r>
        <w:rPr>
          <w:rFonts w:ascii="Times New Roman" w:hAnsi="Times New Roman" w:cs="Times New Roman" w:eastAsia="Times New Roman"/>
          <w:b w:val="false"/>
          <w:sz w:val="26"/>
        </w:rPr>
        <w:t>Bước 2: Ban Chỉ huy quân sự xã, phường, thị trấn tổng hợp, lập hồ sơ báo cáo Ban Chỉ huy quân sự cấp huyện.</w:t>
      </w:r>
    </w:p>
    <w:p>
      <w:pPr>
        <w:spacing w:after="0" w:before="0" w:lineRule="auto" w:line="276"/>
        <w:jc w:val="both"/>
      </w:pPr>
      <w:r>
        <w:rPr>
          <w:rFonts w:ascii="Times New Roman" w:hAnsi="Times New Roman" w:cs="Times New Roman" w:eastAsia="Times New Roman"/>
          <w:b w:val="false"/>
          <w:sz w:val="26"/>
        </w:rPr>
        <w:t>Bước 3: Ban Chỉ huy quân sự cấp huyện hoàn thành việc xét duyệt, tổng hợp báo cáo Bộ Chỉ huy quân sự cấp tỉnh.</w:t>
      </w:r>
    </w:p>
    <w:p>
      <w:pPr>
        <w:spacing w:after="0" w:before="0" w:lineRule="auto" w:line="276"/>
        <w:jc w:val="both"/>
      </w:pPr>
      <w:r>
        <w:rPr>
          <w:rFonts w:ascii="Times New Roman" w:hAnsi="Times New Roman" w:cs="Times New Roman" w:eastAsia="Times New Roman"/>
          <w:b w:val="false"/>
          <w:sz w:val="26"/>
        </w:rPr>
        <w:t>Bước 4: Bộ Chỉ huy quân sự cấp tỉnh hoàn thành việc xét duyệt, báo cáo Bộ Tư lệnh quân khu; Bộ Tư lệnh Thủ đô Hà Nội tiếp nhận hồ sơ do Ban Chỉ huy quân sự cấp huyện báo cáo (qua Cục Chính trị);</w:t>
      </w:r>
    </w:p>
    <w:p>
      <w:pPr>
        <w:spacing w:after="0" w:before="0" w:lineRule="auto" w:line="276"/>
        <w:jc w:val="both"/>
      </w:pPr>
      <w:r>
        <w:rPr>
          <w:rFonts w:ascii="Times New Roman" w:hAnsi="Times New Roman" w:cs="Times New Roman" w:eastAsia="Times New Roman"/>
          <w:b w:val="false"/>
          <w:sz w:val="26"/>
        </w:rPr>
        <w:t>Bước 5: Bộ Tư lệnh quân khu, Bộ Tư lệnh Thủ đô Hà Nội hoàn thành việc thẩm định, hoàn thiện hồ sơ chuyển Bảo hiểm xã hội Bộ Quốc phòng;</w:t>
      </w:r>
    </w:p>
    <w:p>
      <w:pPr>
        <w:spacing w:after="0" w:before="0" w:lineRule="auto" w:line="276"/>
        <w:jc w:val="both"/>
      </w:pPr>
      <w:r>
        <w:rPr>
          <w:rFonts w:ascii="Times New Roman" w:hAnsi="Times New Roman" w:cs="Times New Roman" w:eastAsia="Times New Roman"/>
          <w:b w:val="false"/>
          <w:sz w:val="26"/>
        </w:rPr>
        <w:t>Bước 6: Bảo hiểm xã hội Bộ Quốc phòng xét duyệt,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Ban Chỉ huy quân sự xã, phường, thị trấn: 03 ngày làm việc; Ban Chỉ huy quân sự cấp huyện: Không quá 05 ngày làm việc; Bộ Chỉ huy quân sự cấp tỉnh: Không quá 07 ngày làm việc; Bộ Chỉ huy quân sự Quân khu, Bộ Tư lệnh Thủ đô Hà Nội: Không quá 10 ngày làm việc; Bảo hiểm xã hội Bộ Quốc phòng trong, thời hạn 30 ngày kể từ ngày nhận được hồ sơ đầy đủ, hợp lệ, ra quyết định hưởng chế độ hưu trí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Nộp trực tiếp cho Ban Chỉ huy quân sự xã, phường, thị trấn nơi đăng ký hộ khẩu thường trú của thân nhân đối tượng từ trần.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của thân nhân đối tượng từ trần - Mẫu số 02-NĐ 159-11 (bản chính).</w:t>
            </w:r>
          </w:p>
        </w:tc>
        <w:tc>
          <w:p/>
          <w:p>
            <w:pPr>
              <w:spacing w:after="0" w:before="0" w:lineRule="auto" w:line="276"/>
              <w:jc w:val="left"/>
            </w:pPr>
            <w:r>
              <w:rPr>
                <w:rFonts w:ascii="Times New Roman" w:hAnsi="Times New Roman" w:cs="Times New Roman" w:eastAsia="Times New Roman"/>
                <w:b w:val="false"/>
                <w:sz w:val="26"/>
              </w:rPr>
              <w:t>Mus02-N159-11.docx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hoặc một số giấy tờ sau: Quyết định phục viên, xuất ngũ, chuyển ngành hoặc chuyển sang công nhân viên chức quốc phòng rồi thôi việc, quyết định của cơ quan có thẩm quyền cử đi lao động hợp tác quốc tế; lý lịch quân nhân, lý lịch cán bộ công chức, viên chức, lý lịch cán bộ hoặc bản trích yếu 63 đối với sĩ quan; lý lịch đảng viên; phiếu lập sổ trợ cấp phục viên, xuất ngũ, chuyển ngành; sổ bảo hiểm xã hội; quyết định cấp giấy chứng nhận thương binh và trợ cấp thương tật hoặc bản trích lục hồ sơ thương tật (đối với thương binh). Giấy xác nhận quá trình công tác của cơ quan, đơn vị trước khi quân nhân phục viên, xuất ngũ, chuyển ngành thôi việc, do thủ trưởng cơ quan, đơn vị từ cấp Trung đoàn và tương đương trở lên theo phân cấp quản lý đối tượng trước khi phục viên, xuất ngũ, hoặc cử đi lao động hợp tác quốc tế, chuyển ngành hoặc chuyển sang công nhân viên quốc phòng rồi thôi việc cấp, ký, đóng dấu, kèm theo bản phôtôcopy hồ sơ của đối tượng hoặc danh sách đăng ký, quản lý đối tượng mà cơ quan, đơn vị đang lưu trữ để làm căn cứ xác nhận; đối với các đối tượng còn giấy tờ, hồ sơ gốc tại đơn vị cũ thì đơn vị cũ cấp lại cho đối tượng theo quy định của pháp luật về công chứng, chứng thực hiện hành. Trường hợp cơ quan, đơn vị cũ đã sáp nhập hoặc giải thể thì cơ quan, đơn vị mới được thành lập sau sáp nhập hoặc cấp trên trực tiếp của cơ quan, đơn vị đã giải thể xác nhận, cấp lại.  Các giấy tờ làm căn cứ xét hưởng chế độ nêu trên (bao gồm bản chính hoặc bản sao của cấp có thẩm quyền) phải chứng minh được tháng, năm nhập ngũ, xuất ngũ, đi lao động hợp tác quốc tế; chuyển ngành hoặc chuyển sang công nhân viên chức quốc phòng rồi thôi việc; xác định được thời gian công tác thực tế trong quân đội.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tử (bản chính hoặc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uỷ quyền (nếu có) - Mẫu số 03-NĐ 159-11 (bản chính).</w:t>
            </w:r>
          </w:p>
        </w:tc>
        <w:tc>
          <w:p/>
          <w:p>
            <w:pPr>
              <w:spacing w:after="0" w:before="0" w:lineRule="auto" w:line="276"/>
              <w:jc w:val="left"/>
            </w:pPr>
            <w:r>
              <w:rPr>
                <w:rFonts w:ascii="Times New Roman" w:hAnsi="Times New Roman" w:cs="Times New Roman" w:eastAsia="Times New Roman"/>
                <w:b w:val="false"/>
                <w:sz w:val="26"/>
              </w:rPr>
              <w:t>Mus03-N159-11.docx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Quân đội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Ban Chỉ huy quân sự xã, phường, thị trấn nơi đăng ký hộ khẩu thường trú của thân nhân đối tượng từ trần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chỉ huy quân sự các cấp (huyện, tỉnh, quân khu và BTL Thủ đô Hà Nội)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chế độ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111/2011/NĐ-CP</w:t>
            </w:r>
          </w:p>
        </w:tc>
        <w:tc>
          <w:p/>
          <w:p>
            <w:pPr>
              <w:spacing w:after="0" w:before="0" w:lineRule="auto" w:line="276"/>
              <w:jc w:val="left"/>
            </w:pPr>
            <w:r>
              <w:rPr>
                <w:rFonts w:ascii="Times New Roman" w:hAnsi="Times New Roman" w:cs="Times New Roman" w:eastAsia="Times New Roman"/>
                <w:b w:val="false"/>
                <w:sz w:val="26"/>
              </w:rPr>
              <w:t>Nghị định 111/2011/NĐ-CP</w:t>
            </w:r>
          </w:p>
        </w:tc>
        <w:tc>
          <w:p/>
          <w:p>
            <w:pPr>
              <w:spacing w:after="0" w:before="0" w:lineRule="auto" w:line="276"/>
              <w:jc w:val="left"/>
            </w:pPr>
            <w:r>
              <w:rPr>
                <w:rFonts w:ascii="Times New Roman" w:hAnsi="Times New Roman" w:cs="Times New Roman" w:eastAsia="Times New Roman"/>
                <w:b w:val="false"/>
                <w:sz w:val="26"/>
              </w:rPr>
              <w:t>05-12-2011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69/2007/TTLT-BQP-BLĐTBXH-BTC</w:t>
            </w:r>
          </w:p>
        </w:tc>
        <w:tc>
          <w:p/>
          <w:p>
            <w:pPr>
              <w:spacing w:after="0" w:before="0" w:lineRule="auto" w:line="276"/>
              <w:jc w:val="left"/>
            </w:pPr>
            <w:r>
              <w:rPr>
                <w:rFonts w:ascii="Times New Roman" w:hAnsi="Times New Roman" w:cs="Times New Roman" w:eastAsia="Times New Roman"/>
                <w:b w:val="false"/>
                <w:sz w:val="26"/>
              </w:rPr>
              <w:t>THÔNG TƯ LIÊN TỊCH  HƯỚNG DẪN THỰC HIỆN NGHỊ ĐỊNH  SỐ 159/2006/NĐ-CP NGÀY 28 THÁNG 12 NĂM 2006 CỦA CHÍNH PHỦ  VỀ VIỆC THỰC HIỆN CHẾ ĐỘ HƯU TRÍ ĐỐI VỚI QUÂN NHÂN TRỰC TIẾP THAM GIA KHÁNG CHIẾN CHỐNG MỸ CỨU NƯỚC TỪ 30/4/1975 TRỞ VỀ TRƯỚC CÓ 20 NĂM TRỞ LÊN PHỤC VỤ QUÂN ĐỘI ĐÃ PHỤC VIÊN, XUẤT NGŨ</w:t>
            </w:r>
          </w:p>
        </w:tc>
        <w:tc>
          <w:p/>
          <w:p>
            <w:pPr>
              <w:spacing w:after="0" w:before="0" w:lineRule="auto" w:line="276"/>
              <w:jc w:val="left"/>
            </w:pPr>
            <w:r>
              <w:rPr>
                <w:rFonts w:ascii="Times New Roman" w:hAnsi="Times New Roman" w:cs="Times New Roman" w:eastAsia="Times New Roman"/>
                <w:b w:val="false"/>
                <w:sz w:val="26"/>
              </w:rPr>
              <w:t>16-04-2007</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190/2011/TTLT-BQP-BLĐTBXH-BTC</w:t>
            </w:r>
          </w:p>
        </w:tc>
        <w:tc>
          <w:p/>
          <w:p>
            <w:pPr>
              <w:spacing w:after="0" w:before="0" w:lineRule="auto" w:line="276"/>
              <w:jc w:val="left"/>
            </w:pPr>
            <w:r>
              <w:rPr>
                <w:rFonts w:ascii="Times New Roman" w:hAnsi="Times New Roman" w:cs="Times New Roman" w:eastAsia="Times New Roman"/>
                <w:b w:val="false"/>
                <w:sz w:val="26"/>
              </w:rPr>
              <w:t>Thông tư liên tịch 190/2011/TTLT-BQP-BLĐTBXH-BTC - Sửa đổi, bổ sung Thông tư liên tịch số 69/2007/TTLT-BQP-BLĐTBXH-BTC ngày 16 tháng 4 năm 2007 của Bộ Quốc phòng, Bộ Lao động - Thương binh và xã hội, Bộ Tài chính hướng dẫn thực hiện nghị định số 159/2006/NĐ-CP ngày 28 tháng 12 năm 2006 của Chính phủ về việc thực hiện chế độ hưu trí đối với quân nhân trực tiếp tham gia Kháng chiến chống Mỹ cứu nước từ ngày 30 tháng 4 năm 1975 trở về trước có 20 năm trở lên phục vụ quân đội đã phục viên, xuất ngũ</w:t>
            </w:r>
          </w:p>
        </w:tc>
        <w:tc>
          <w:p/>
          <w:p>
            <w:pPr>
              <w:spacing w:after="0" w:before="0" w:lineRule="auto" w:line="276"/>
              <w:jc w:val="left"/>
            </w:pPr>
            <w:r>
              <w:rPr>
                <w:rFonts w:ascii="Times New Roman" w:hAnsi="Times New Roman" w:cs="Times New Roman" w:eastAsia="Times New Roman"/>
                <w:b w:val="false"/>
                <w:sz w:val="26"/>
              </w:rPr>
              <w:t>07-11-2011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2026-05-22T16:00:22Z</dcterms:created>
  <dc:creator>Apache POI</dc:creator>
</cp:coreProperties>
</file>