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bổ sung, sửa đổi Giấy chứng nhận đăng ký hoạt động kiểm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hồ sơ đầy đủ và hợp lệ, Bộ quản lý ngành lĩnh vực chịu trách nhiệm cấp Giấy chứng nhận cho tổ chức kiểm định.</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Cơ quan tiếp nhận hồ sơ hoặc theo đường bưu điện.</w:t>
      </w:r>
    </w:p>
    <w:p>
      <w:pPr>
        <w:spacing w:after="0" w:before="0" w:lineRule="auto" w:line="276"/>
        <w:jc w:val="both"/>
      </w:pPr>
      <w:r>
        <w:rPr>
          <w:rFonts w:ascii="Times New Roman" w:hAnsi="Times New Roman" w:cs="Times New Roman" w:eastAsia="Times New Roman"/>
          <w:b w:val="false"/>
          <w:sz w:val="26"/>
        </w:rPr>
        <w:t>Bước 1: Tiếp nhận hồ sơ
Tổ chức kiểm định có nhu cầu bổ sung, sửa đổi Giấy chứng nhận đăng ký hoạt động kiểm định chất lượng sản phẩm, hàng hóa trong quá trình sử dụng:</w:t>
      </w:r>
    </w:p>
    <w:p>
      <w:pPr>
        <w:spacing w:after="0" w:before="0" w:lineRule="auto" w:line="276"/>
        <w:jc w:val="both"/>
      </w:pPr>
      <w:r>
        <w:rPr>
          <w:rFonts w:ascii="Times New Roman" w:hAnsi="Times New Roman" w:cs="Times New Roman" w:eastAsia="Times New Roman"/>
          <w:b w:val="false"/>
          <w:sz w:val="26"/>
        </w:rPr>
        <w:t>- Đối với chất lượng sản phẩm, hàng hóa thuộc trách nhiệm quản lý nhà nước của Bộ Khoa học và Công nghệ hoặc kiểm định chất lượng sản phẩm, hàng hóa tổng hợp đa ngành thuộc trách nhiệm quản lý từ hai bộ quản lý ngành, lĩnh vực trở lên, hồ sơ đăng ký gửi về Bộ Khoa học và Công nghệ (Tổng cục Tiêu chuẩn Đo lường Chất lượng – Cơ quan tiếp nhận hồ sơ)</w:t>
      </w:r>
    </w:p>
    <w:p>
      <w:pPr>
        <w:spacing w:after="0" w:before="0" w:lineRule="auto" w:line="276"/>
        <w:jc w:val="both"/>
      </w:pPr>
      <w:r>
        <w:rPr>
          <w:rFonts w:ascii="Times New Roman" w:hAnsi="Times New Roman" w:cs="Times New Roman" w:eastAsia="Times New Roman"/>
          <w:b w:val="false"/>
          <w:sz w:val="26"/>
        </w:rPr>
        <w:t>- Đối với chất lượng sản phẩm, hàng hóa chuyên ngành thuộc trách nhiệm quản lý nhà nước của một bộ quản lý ngành, lĩnh vực theo chức năng, nhiệm vụ quyền hạn được phân công, hồ sơ đăng ký gửi về Bộ, quản lý ngành, lĩnh vực (Cơ quan tiếp nhận hồ sơ do Bộ quản lý ngành, lĩnh vực phân công).</w:t>
      </w:r>
    </w:p>
    <w:p>
      <w:pPr>
        <w:spacing w:after="0" w:before="0" w:lineRule="auto" w:line="276"/>
        <w:jc w:val="both"/>
      </w:pPr>
      <w:r>
        <w:rPr>
          <w:rFonts w:ascii="Times New Roman" w:hAnsi="Times New Roman" w:cs="Times New Roman" w:eastAsia="Times New Roman"/>
          <w:b w:val="false"/>
          <w:sz w:val="26"/>
        </w:rPr>
        <w:t>Bước 2: Xử lý hồ sơ
Cơ quan tiếp nhận hồ sơ, xem xét, thẩm định theo quy định:</w:t>
      </w:r>
    </w:p>
    <w:p>
      <w:pPr>
        <w:spacing w:after="0" w:before="0" w:lineRule="auto" w:line="276"/>
        <w:jc w:val="both"/>
      </w:pPr>
      <w:r>
        <w:rPr>
          <w:rFonts w:ascii="Times New Roman" w:hAnsi="Times New Roman" w:cs="Times New Roman" w:eastAsia="Times New Roman"/>
          <w:b w:val="false"/>
          <w:sz w:val="26"/>
        </w:rPr>
        <w:t>- Trường hợp hồ sơ không đầy đủ theo quy định, Cơ quan tiếp nhận hồ sơ thông báo bằng văn bản yêu cầu tổ chức kiểm định sửa đổi,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trong thời hạn 05 ngày làm việc, kể từ ngày nhận được hồ sơ, cơ quan tiếp nhận hồ sơ thông báo bằng văn bản yêu cầu tổ chức kiểm định sửa đổi, bổ sung.
- Trường hợp hồ sơ đầy đủ và hợp lệ, trong thời hạn 10 ngày làm việc, kể từ khi nhận được hồ sơ, Bộ quản lý ngành, lĩnh vực chịu trách nhiệm cấp Giấy chứng nhận cho tổ chức kiểm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hiện hành của pháp luật về phí, lệ phí)</w:t>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trong thời hạn 05 ngày làm việc, kể từ ngày nhận được hồ sơ, cơ quan tiếp nhận hồ sơ thông báo bằng văn bản yêu cầu tổ chức kiểm định sửa đổi, bổ sung.
- Trường hợp hồ sơ đầy đủ và hợp lệ, trong thời hạn 10 ngày làm việc, kể từ khi nhận được hồ sơ, Bộ quản lý ngành, lĩnh vực chịu trách nhiệm cấp Giấy chứng nhận cho tổ chức kiểm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bổ sung, sửa đổi hoạt động kiểm định;</w:t>
            </w:r>
          </w:p>
        </w:tc>
        <w:tc>
          <w:p/>
          <w:p>
            <w:pPr>
              <w:spacing w:after="0" w:before="0" w:lineRule="auto" w:line="276"/>
              <w:jc w:val="left"/>
            </w:pPr>
            <w:r>
              <w:rPr>
                <w:rFonts w:ascii="Times New Roman" w:hAnsi="Times New Roman" w:cs="Times New Roman" w:eastAsia="Times New Roman"/>
                <w:b w:val="false"/>
                <w:sz w:val="26"/>
              </w:rPr>
              <w:t>Đơn đăng ký bổ sung, sửa đổi hoạt động kiểm định.docx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kiểm định viên bổ sung, sửa đổi và các chứng chỉ, tài liệu liên quan đối với mỗi kiểm định viên gồm:</w:t>
            </w:r>
          </w:p>
        </w:tc>
        <w:tc>
          <w:p/>
          <w:p>
            <w:pPr>
              <w:spacing w:after="0" w:before="0" w:lineRule="auto" w:line="276"/>
              <w:jc w:val="left"/>
            </w:pPr>
            <w:r>
              <w:rPr>
                <w:rFonts w:ascii="Times New Roman" w:hAnsi="Times New Roman" w:cs="Times New Roman" w:eastAsia="Times New Roman"/>
                <w:b w:val="false"/>
                <w:sz w:val="26"/>
              </w:rPr>
              <w:t>Danh sách kiểm định viên.docx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tuyển dụng hoặc Hợp đồng lao động; bản sao chứng chỉ đào tạo tương ứng quy định tại khoản 3 Điều 5 Nghị định 107/2016/NĐ-CP;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máy móc, thiết bị, dụng cụ phục vụ hoạt động kiểm định đối với lĩnh vực kiểm định đăng ký bổ sung, sửa đổi;</w:t>
            </w:r>
          </w:p>
        </w:tc>
        <w:tc>
          <w:p/>
          <w:p>
            <w:pPr>
              <w:spacing w:after="0" w:before="0" w:lineRule="auto" w:line="276"/>
              <w:jc w:val="left"/>
            </w:pPr>
            <w:r>
              <w:rPr>
                <w:rFonts w:ascii="Times New Roman" w:hAnsi="Times New Roman" w:cs="Times New Roman" w:eastAsia="Times New Roman"/>
                <w:b w:val="false"/>
                <w:sz w:val="26"/>
              </w:rPr>
              <w:t>Danh sách máy móc, thiết bị, dụng cụ phục vụ hoạt động kiểm định đối với lĩnh vực kiểm định đăng ký.docx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hoạt động kiểm định bổ sung, sửa đổi đáp ứng các yêu cầu quy định trong tiêu chuẩn quốc gia TCVN ISO 9001:2008 hoặc tiêu chuẩn quốc gia, tiêu chuẩn quốc tế đối với kiểm định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phù hợp tiêu chuẩn TCVN ISO 9001:2008 hoặc ISO 9001:2008 hoặc bản sao Chứng chỉ công nhận kèm theo phạm vi được công nhận trong trường hợp tổ chức kiểm định đã được tổ chức chứng nhận cấp Giấy chứng nhận phù hợp tiêu chuẩn TCVN ISO 9001:2008 hoặc ISO 9001:2008 hoặc đã được tổ chức công nhận quy định tại Điều 21 Nghị định 107/2016/NĐ-CP hoặc tổ chức công nhận nước ngoài quy định tại Điều 25 Nghị định 107/2016/NĐ-CP công nhận hoạt động kiểm định phù hợp tiêu chuẩn quốc gia, tiêu chuẩn quốc tế đối với lĩnh vực chuyên ngành, tổ chức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tổ chức kiểm định đã được chứng nhận phù hợp tiêu chuẩn TCVN ISO 9001:2008 hoặc ISO 9001:2008 nhưng có phạm vi đăng ký hoạt động rộng hơn phạm vi đã được chứng nhận, tổ chức kiểm định nộp bản sao Giấy chứng nhận phù hợp tiêu chuẩn TCVN ISO 9001:2008 hoặc ISO 9001:2008 và các tài liệu, quy trình kiểm định, các tài liệu khác liên quan để chứng minh năng lực hoạt động phù hợp với các yêu cầu của tiêu chuẩn tương ứng quy định tại khoản 2 Điều 9 Nghị định này đối với phạm vi chưa được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tiếp nhận hồ sơ do Bộ quản lý ngành, lĩnh vực phân công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kiểm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Thủ tục cấp bổ sung, sửa đổi Giấy chứng nhận đăng ký hoạt động giám định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kiểm định đã được cấp Giấy chứng nhận đăng ký lĩnh vực hoạt động kiểm định còn hiệu lực;
- Có ít nhất 02 kiểm định viên chính thức của tổ chức (viên chức hoặc lao động ký hợp đồng có thời hạn từ 12 tháng trở lên hoặc lao động ký hợp đồng không xác định thời hạn) tương ứng với lĩnh vực kiểm định đăng ký bổ sung, được đào tạo về tiêu chuẩn quốc gia TCVN ISO 9001:2008;
- Có máy móc, thiết bị, dụng cụ phục vụ hoạt động kiểm định đối với lĩnh vực kiểm định đăng ký bổ sung.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2026-05-22T16:25:08Z</dcterms:created>
  <dc:creator>Apache POI</dc:creator>
</cp:coreProperties>
</file>