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tín dụng đầu tư của Nhà nước (Áp dụng đối với cả các dự án vốn nước ngoài NHPT duyệt vay, chịu rủi ro tín dụng): Giải ngân thanh toán giá trị của Hợp đồng nhập khẩu thiết bị, dịch vụ theo hình thức L/C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gửi hồ sơ đề nghị giải ngân tới chi nhánh NHPT</w:t>
      </w:r>
    </w:p>
    <w:p>
      <w:pPr>
        <w:spacing w:after="0" w:before="0" w:lineRule="auto" w:line="276"/>
        <w:jc w:val="both"/>
      </w:pPr>
      <w:r>
        <w:rPr>
          <w:rFonts w:ascii="Times New Roman" w:hAnsi="Times New Roman" w:cs="Times New Roman" w:eastAsia="Times New Roman"/>
          <w:b w:val="false"/>
          <w:sz w:val="26"/>
        </w:rPr>
        <w:t>Bước 2: Chi nhánh NHPT tiếp nhận hồ sơ kiểm tra nội dung hồ sơ giải ngân và lập Bảng kê các tài liệu giao nhận hồ sơ giải ngân</w:t>
      </w:r>
    </w:p>
    <w:p>
      <w:pPr>
        <w:spacing w:after="0" w:before="0" w:lineRule="auto" w:line="276"/>
        <w:jc w:val="both"/>
      </w:pPr>
      <w:r>
        <w:rPr>
          <w:rFonts w:ascii="Times New Roman" w:hAnsi="Times New Roman" w:cs="Times New Roman" w:eastAsia="Times New Roman"/>
          <w:b w:val="false"/>
          <w:sz w:val="26"/>
        </w:rPr>
        <w:t>Bước 3: Nếu không đồng ý cấp một phần hoặc toàn bộ khoản vay, Chi nhánh NHPT có văn bản thông báo cho Chủ đầu tư (nêu rõ lý do)</w:t>
      </w:r>
    </w:p>
    <w:p>
      <w:pPr>
        <w:spacing w:after="0" w:before="0" w:lineRule="auto" w:line="276"/>
        <w:jc w:val="both"/>
      </w:pPr>
      <w:r>
        <w:rPr>
          <w:rFonts w:ascii="Times New Roman" w:hAnsi="Times New Roman" w:cs="Times New Roman" w:eastAsia="Times New Roman"/>
          <w:b w:val="false"/>
          <w:sz w:val="26"/>
        </w:rPr>
        <w:t>Bước 4: Nếu chấp thuận: thực hiện giải ngân cho Chủ đầu tư, Chủ đầu tư hoàn chứng từ giải ngân đối với những khoản giải ngân chưa đủ giấy tờ chứng minh mục đích sử dụng tiền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7 ngày làm việc kể từ ngày nhận đủ tài liệu giải ngân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7 ngày làm việc kể từ ngày nhận đủ tài liệu giải ngân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Ngoài hồ sơ XLRR chung nêu trên, đối với từng trường hợp cụ thể, hồ sơ XLRR,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giải ngân thanh toán L/C của chủ đầu tư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nhập khẩu thiết bị, dịch vụ (trường hợp chủ đầu tư nhập khẩu trực tiếp)/Hợp đồng nhập khẩu uỷ thác kèm Hợp đồng ngoại (trường hợp chủ đầu tư uỷ thác việc nhập khẩu) (bản sao có xác nhận sao y bản chính). Nếu Hợp đồng bằng tiếng nước ngoài, yêu cầu phải có bản dịch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L/C nhập khẩu thiết bị, dịch vụ (bản sao có xác nhận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Ngân hàng thanh toán quốc tế thông báo tình trạng của chứng từ theo L/C và yêu cầu chủ đầu tư thanh toán bộ chứng từ phù hợp với các điều khoản, điều kiện của L/C (bản chính) (Hoặc văn bản của Ngân hàng thanh toán quốc tế thông báo bộ chứng từ nhập khẩu về có sai sót, kèm theo văn bản của chủ đầu tư đề nghị NHPT xem xét, chấp thuận sai sót và giải ngân để chủ đầu tư thanh toán L/C).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bộ chứng từ xuất trình theo L/C kèm theo Phiếu kiểm tra chứng từ của Ngân hàng thanh toán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chủ đầu tư cam kết bảo toàn và sử dụng vốn vay đúng mục đích; cam kết trách nhiệm hoàn chỉnh hồ sơ, thủ tục để thanh toán khối lượng thiết bị, dịch vụ hoàn thành và hoàn tạm ứng cho Chi nhánh NHPT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mua ngoại tệ (bản sao có xác nhận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từ rút vốn (Uỷ nhiệm chi,…) (bản chính). Chứng từ rút vốn do Chủ đầu tư lập phải có nội dung “chuyển tiền mua ….. ngoại tệ để thanh toán tiền nhập khẩu thiết bị/ dịch vụ theo Hợp đồng số ….. ngày ….. tháng ….. năm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rút vốn vay tín dụng đầu tư của Nhà nước, trong đó có ghi rõ nội dung: số tiền thanh toán, tên người thụ hưởng, số tài khoản và tên ngân hàng của người thụ hưởng ở nước ngoài (bản chính).</w:t>
            </w:r>
          </w:p>
        </w:tc>
        <w:tc>
          <w:p/>
          <w:p>
            <w:pPr>
              <w:spacing w:after="0" w:before="0" w:lineRule="auto" w:line="276"/>
              <w:jc w:val="left"/>
            </w:pPr>
            <w:r>
              <w:rPr>
                <w:rFonts w:ascii="Times New Roman" w:hAnsi="Times New Roman" w:cs="Times New Roman" w:eastAsia="Times New Roman"/>
                <w:b w:val="false"/>
                <w:sz w:val="26"/>
              </w:rPr>
              <w:t>Phụ lục số 01.TDĐT.docx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Giám đốc NHPT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Giải ngân hoặc từ chối giải ngân, Cho vay vốn tín dụng đầu tư của Nhà nước (Áp dụng đối với cả các dự án vốn nước ngoài NHPT duyệt vay, chịu rủi ro tín dụng): Giải ngân thanh toán giá trị của hợp đồng nhập khẩu thiết bị, dịch vụ theo hình thức L/C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Số vốn giải ngân thanh toán hợp đồng xây dựng phải phù hợp với loại hợp đồng, giá hợp đồng và các điều kiện thanh toán trong hợp đồng, các phụ lục hợp đồng, hợp đồng sửa đổi, bổ sung (nếu có) đã ký giữa chủ đầu tư và nhà thầu.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2026-05-28T18:41:39Z</dcterms:created>
  <dc:creator>Apache POI</dc:creator>
</cp:coreProperties>
</file>