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hưu trí đối với quân nhân trực tiếp tham gia kháng chiến chống Mỹ cứu nước từ ngày 30/4/1975 trở về trước có 20 năm trở lên phục vụ quân đội đã phục viên, xuất ngũ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nộp các giấy tờ theo quy định cho Ban Chỉ huy quân sự xã, phường, thị trấn.</w:t>
      </w:r>
    </w:p>
    <w:p>
      <w:pPr>
        <w:spacing w:after="0" w:before="0" w:lineRule="auto" w:line="276"/>
        <w:jc w:val="both"/>
      </w:pPr>
      <w:r>
        <w:rPr>
          <w:rFonts w:ascii="Times New Roman" w:hAnsi="Times New Roman" w:cs="Times New Roman" w:eastAsia="Times New Roman"/>
          <w:b w:val="false"/>
          <w:sz w:val="26"/>
        </w:rPr>
        <w:t>Ban Chỉ huy quân sự xã, phường, thị trấn tổng hợp, lập hồ sơ báo cáo Ban Chỉ huy quân sự cấp huyện.</w:t>
      </w:r>
    </w:p>
    <w:p>
      <w:pPr>
        <w:spacing w:after="0" w:before="0" w:lineRule="auto" w:line="276"/>
        <w:jc w:val="both"/>
      </w:pPr>
      <w:r>
        <w:rPr>
          <w:rFonts w:ascii="Times New Roman" w:hAnsi="Times New Roman" w:cs="Times New Roman" w:eastAsia="Times New Roman"/>
          <w:b w:val="false"/>
          <w:sz w:val="26"/>
        </w:rPr>
        <w:t>Ban Chỉ huy quân sự cấp huyện hoàn thành việc xét duyệt, tổng hợp báo cáo Bộ Chỉ huy quân sự cấp tỉnh.</w:t>
      </w:r>
    </w:p>
    <w:p>
      <w:pPr>
        <w:spacing w:after="0" w:before="0" w:lineRule="auto" w:line="276"/>
        <w:jc w:val="both"/>
      </w:pPr>
      <w:r>
        <w:rPr>
          <w:rFonts w:ascii="Times New Roman" w:hAnsi="Times New Roman" w:cs="Times New Roman" w:eastAsia="Times New Roman"/>
          <w:b w:val="false"/>
          <w:sz w:val="26"/>
        </w:rPr>
        <w:t>Bộ Chỉ huy quân sự cấp tỉnh hoàn thành việc xét duyệt, báo cáo Bộ Tư lệnh quân khu; Bộ Tư lệnh Thủ đô Hà Nội tiếp nhận hồ sơ do Ban Chỉ huy quân sự cấp huyện báo cáo (qua Cục Chính trị).</w:t>
      </w:r>
    </w:p>
    <w:p>
      <w:pPr>
        <w:spacing w:after="0" w:before="0" w:lineRule="auto" w:line="276"/>
        <w:jc w:val="both"/>
      </w:pPr>
      <w:r>
        <w:rPr>
          <w:rFonts w:ascii="Times New Roman" w:hAnsi="Times New Roman" w:cs="Times New Roman" w:eastAsia="Times New Roman"/>
          <w:b w:val="false"/>
          <w:sz w:val="26"/>
        </w:rPr>
        <w:t>Bộ Tư lệnh quân khu, Bộ Tư lệnh Thủ đô Hà Nội hoàn thành việc thẩm định, hoàn thiện hồ sơ chuyển Bảo hiểm xã hội Bộ Quốc phòng.</w:t>
      </w:r>
    </w:p>
    <w:p>
      <w:pPr>
        <w:spacing w:after="0" w:before="0" w:lineRule="auto" w:line="276"/>
        <w:jc w:val="both"/>
      </w:pPr>
      <w:r>
        <w:rPr>
          <w:rFonts w:ascii="Times New Roman" w:hAnsi="Times New Roman" w:cs="Times New Roman" w:eastAsia="Times New Roman"/>
          <w:b w:val="false"/>
          <w:sz w:val="26"/>
        </w:rPr>
        <w:t>Bảo hiểm xã hội Bộ Quốc phòng xét duyệt,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Chỉ huy quân sự xã, phường, thị trấn: 03 ngày làm việc; Ban Chỉ huy quân sự cấp huyện: Không quá 05 ngày làm việc; Bộ Chỉ huy quân sự cấp tỉnh: Không quá 07 ngày làm việc; Bộ Chỉ huy quân sự Quân khu, Bộ Tư lệnh Thủ đô Hà Nội: Không quá 10 ngày làm việc; Bảo hiểm xã hội Bộ Quốc phòng trong, thời hạn 30 ngày kể từ ngày nhận được hồ sơ đầy đủ, hợp lệ, ra quyết định hưởng chế độ hưu trí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trực tiếp cho Ban Chỉ huy quân sự xã, phường, thị trấn nơi đăng ký hộ khẩu thường trú của đối tượng.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đối tượng</w:t>
            </w:r>
          </w:p>
        </w:tc>
        <w:tc>
          <w:p/>
          <w:p>
            <w:pPr>
              <w:spacing w:after="0" w:before="0" w:lineRule="auto" w:line="276"/>
              <w:jc w:val="left"/>
            </w:pPr>
            <w:r>
              <w:rPr>
                <w:rFonts w:ascii="Times New Roman" w:hAnsi="Times New Roman" w:cs="Times New Roman" w:eastAsia="Times New Roman"/>
                <w:b w:val="false"/>
                <w:sz w:val="26"/>
              </w:rPr>
              <w:t>Mus01-N159-11.docx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Một hoặc một số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phục viên, xuất ngũ, chuyển ngành hoặc chuyển sang công nhân viên chức quốc phòng rồi thôi việc, quyết định của cơ quan có thẩm quyền cử đi lao động hợp tác quốc tế; lý lịch quân nhân, lý lịch cán bộ công chức, viên chức, lý lịch cán bộ hoặc bản trích yếu 63 đối với sĩ quan; lý lịch đảng viên; phiếu lập sổ trợ cấp phục viên, xuất ngũ, chuyển ngành; sổ bảo hiểm xã hội; quyết định cấp giấy chứng nhận thương binh và trợ cấp thương tật hoặc bản trích lục hồ sơ thương tật (đối với thương binh). Giấy xác nhận quá trình công tác của cơ quan, đơn vị trước khi quân nhân phục viên, xuất ngũ, chuyển ngành thôi việc, do thủ trưởng cơ quan, đơn vị từ cấp Trung đoàn và tương đương trở lên theo phân cấp quản lý đối tượng trước khi phục viên, xuất ngũ, hoặc cử đi lao động hợp tác quốc tế, chuyển ngành hoặc chuyển sang công nhân viên quốc phòng rồi thôi việc cấp, ký, đóng dấu, kèm theo bản phôtôcopy hồ sơ của đối tượng hoặc danh sách đăng ký, quản lý đối tượng mà cơ quan, đơn vị đang lưu trữ để làm căn cứ xác nhận; đối với các đối tượng còn giấy tờ, hồ sơ gốc tại đơn vị cũ thì đơn vị cũ cấp lại cho đối tượng theo quy định của pháp luật về công chứng, chứng thực hiện hành. Trường hợp cơ quan, đơn vị cũ đã sáp nhập hoặc giải thể thì cơ quan, đơn vị mới được thành lập sau sáp nhập hoặc cấp trên trực tiếp của cơ quan, đơn vị đã giải thể xác nhận, cấp lại. Các giấy tờ làm căn cứ xét hưởng chế độ nêu trên (bao gồm bản chính hoặc bản sao của cấp có thẩm quyền) phải chứng minh được tháng, năm nhập ngũ, xuất ngũ, đi lao động hợp tác quốc tế; chuyển ngành hoặc chuyển sang công nhân viên chức quốc phòng rồi thôi việc; xác định được thời gian công tác thực tế trong quân đội. Đối với các trường hợp thuộc đối tượng xét hưởng bị kết án tù giam, nhưng đã chấp hành xong án phạt tù, chuyển về địa phương mà chưa được giải quyết chế độ phục viên, xuất ngũ, thôi việc thì bổ sung thêm Giấy chứng nhận chấp hành xong án phạt tù giam (bản chính hoặc bản sao) của cơ quan có thẩm quyền. Đối tượng bị kết án tù giam trước ngày 01/01/1995, đã chấp hành xong án phạt tù giam chuyển về địa phương, chưa giải quyết chế độ, chính sách, Bộ Quốc phòng tổng hợp hồ sơ, trao đổi, thống nhất với Bộ Lao động - Thương binh và Xã hội để vận dụng giải quyết chế độ hưu trí theo quy định tại Nghị định số 159/2006/NĐ-CP đối với từng trường hợp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xã, phường, thị trấn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hưu trí hằng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69/2007/TTLT/BQP-BLĐTBXH-BTC</w:t>
            </w:r>
          </w:p>
        </w:tc>
        <w:tc>
          <w:p/>
          <w:p>
            <w:pPr>
              <w:spacing w:after="0" w:before="0" w:lineRule="auto" w:line="276"/>
              <w:jc w:val="left"/>
            </w:pPr>
            <w:r>
              <w:rPr>
                <w:rFonts w:ascii="Times New Roman" w:hAnsi="Times New Roman" w:cs="Times New Roman" w:eastAsia="Times New Roman"/>
                <w:b w:val="false"/>
                <w:sz w:val="26"/>
              </w:rPr>
              <w:t>Nghị định số 159/2006/NĐ-CP</w:t>
            </w:r>
          </w:p>
        </w:tc>
        <w:tc>
          <w:p/>
          <w:p>
            <w:pPr>
              <w:spacing w:after="0" w:before="0" w:lineRule="auto" w:line="276"/>
              <w:jc w:val="left"/>
            </w:pPr>
            <w:r>
              <w:rPr>
                <w:rFonts w:ascii="Times New Roman" w:hAnsi="Times New Roman" w:cs="Times New Roman" w:eastAsia="Times New Roman"/>
                <w:b w:val="false"/>
                <w:sz w:val="26"/>
              </w:rPr>
              <w:t>16-04-2007</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190/2011/TTLT-BQP-BLĐTBXH-BTC</w:t>
            </w:r>
          </w:p>
        </w:tc>
        <w:tc>
          <w:p/>
          <w:p>
            <w:pPr>
              <w:spacing w:after="0" w:before="0" w:lineRule="auto" w:line="276"/>
              <w:jc w:val="left"/>
            </w:pPr>
            <w:r>
              <w:rPr>
                <w:rFonts w:ascii="Times New Roman" w:hAnsi="Times New Roman" w:cs="Times New Roman" w:eastAsia="Times New Roman"/>
                <w:b w:val="false"/>
                <w:sz w:val="26"/>
              </w:rPr>
              <w:t>Thông tư liên tịch 190/2011/TTLT-BQP-BLĐTBXH-BTC - Sửa đổi, bổ sung Thông tư liên tịch số 69/2007/TTLT-BQP-BLĐTBXH-BTC ngày 16 tháng 4 năm 2007 của Bộ Quốc phòng, Bộ Lao động - Thương binh và xã hội, Bộ Tài chính hướng dẫn thực hiện nghị định số 159/2006/NĐ-CP ngày 28 tháng 12 năm 2006 của Chính phủ về việc thực hiện chế độ hưu trí đối với quân nhân trực tiếp tham gia Kháng chiến chống Mỹ cứu nước từ ngày 30 tháng 4 năm 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07-11-2011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11/2011/NĐ-CP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159/2006/NĐ-CP ngày 28 tháng 12 năm 2006 của Chính phủ về việc thực hiện chế độ hưu trí đối với quân nhân trực tiếp tham gia kháng chiến chống Mỹ cứu nước từ ngày 30 tháng 4 năm 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30-01-2011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2026-05-23T19:28:07Z</dcterms:created>
  <dc:creator>Apache POI</dc:creator>
</cp:coreProperties>
</file>