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khám bệnh, chữa bệnh đối với người Việt Nam bị thu hồi chứng chỉ hành nghề theo quy định tại điểm c, d, đ, e và g Khoản 1 Điều 29 Luật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Bộ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 Trường hợp hồ sơ hợp lệ, thì trong thời hạn 10 ngày làm việc, kể từ ngày có biên bản thẩm định, cơ quan tiếp nhận hồ sơ cấp lại chứng chỉ hành nghề cho đối tượng.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lại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3600000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3600000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09 Phụ lục I đối với người Việt Nam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 109_2016_mau 09_Phu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chuyên môn phù hợp với phạm vi hoạt động chuyên môn đề nghị cấp chứng chỉ hành nghề, cụ thể như sau:  a) Văn bằng chuyên môn y;  b) Văn bằng cử nhân y khoa do nước ngoài cấp được Bộ Giáo dục và Đào tạo công nhận tương đương trình độ đại học nhưng phải kèm theo giấy chứng nhận đã qua đào tạo bổ sung theo ngành, chuyên ngành phù hợp với thời gian đào tạo ít nhất là 12 tháng tại cơ sở đào tạo hợp pháp của Việt Nam theo quy định của Bộ trưởng Bộ Y tế thì được coi là tương đương với văn bằng bác sỹ và được cấp chứng chỉ hành nghề với chức danh là bác sỹ;  c) Văn bằng cử nhân hóa học, sinh học, dược sĩ trình độ đại học và phải kèm theo chứng chỉ hoặc giấy chứng nhận đào tạo chuyên ngành kỹ thuật y học về xét nghiệm với thời gian đào tạo ít nhất là 3 tháng hoặc văn bằng đào tạo sau đại học về chuyên khoa xét nghiệm;  d) Giấy chứng nhận là lương y hoặc giấy chứng nhận người có bài thuốc gia truyền hoặc người có phương pháp chữa bệnh gia truyền do Bộ trưởng Bộ Y tế hoặc Giám đốc Sở Y tế cấp.  Trường hợp mất các văn bằng chuyên môn trên thì phải có giấy chứng nhận tốt nghiệp hoặc bản sao hợp lệ giấy chứng nhận thay thế bằng tốt nghiệp do cơ sở đào tạo nơi đã cấp văn bằng chuyên môn đó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do cơ sở khám bệnh, chữa bệnh quy định tại khoản 6 Điều 23 và khoản 5 Điều 25 Nghị định này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tự thuật theo Mẫu 03 Phụ lục I ban hành kèm theo Nghị định này có xác nhận của thủ trưởng đơn vị nơi công tác đối với người đề nghị cấp chứng chỉ hành nghề đang làm việc trong cơ sở y tế tại thời điểm đề nghị cấp chứng chỉ hành nghề hoặc sơ yếu lý lịch tự thuật có xác nhận của Ủy ban nhân dân xã, phường, thị trấn nơi thường trú đối với những người xin cấp chứng chỉ hành nghề không làm việc cho cơ sở y tế nào tại thời điểm đề nghị cấp chứng chỉ hành nghề.</w:t>
            </w:r>
          </w:p>
        </w:tc>
        <w:tc>
          <w:p/>
          <w:p>
            <w:pPr>
              <w:spacing w:after="0" w:before="0" w:lineRule="auto" w:line="276"/>
              <w:jc w:val="left"/>
            </w:pPr>
            <w:r>
              <w:rPr>
                <w:rFonts w:ascii="Times New Roman" w:hAnsi="Times New Roman" w:cs="Times New Roman" w:eastAsia="Times New Roman"/>
                <w:b w:val="false"/>
                <w:sz w:val="26"/>
              </w:rPr>
              <w:t>Mau3 Phuluc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  (Bản sao có chứng thực văn bằng chuyên môn; Giấy xác nhận quá trình thực hành; Bản sao có chứng thực giấy chứng nhận biết tiếng Việt thành thạo do tổ chức nước ngoài cấp phải được hợp pháp hóa lãnh sự và dịch ra tiếng Việt, bản dịch phải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đã cập nhật kiến thức y khoa liên tục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bệnh,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 Có một trong các văn bằng, giấy chứng nhận sau đây phù hợp với hình thức hành nghề khám bệnh, chữa bệnh:
a) Văn bằng chuyên môn liên quan đến y tế được cấp hoặc công nhận tại Việt Nam;
b) Giấy chứng nhận là lương y;
c) Giấy chứng nhận là người có bài thuốc gia truyền hoặc có phương pháp chữa bệnh gia truyền.
1.2. Có văn bản xác nhận quá trình thực hành, trừ trường hợp là lương y, người có bài thuốc gia truyền hoặc có phương pháp chữa bệnh gia truyền.
1.3. Có giấy chứng nhận đủ sức khỏe để hành nghề khám bệnh, chữa bệnh.
1.4.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2026-05-18T17:31:30Z</dcterms:created>
  <dc:creator>Apache POI</dc:creator>
</cp:coreProperties>
</file>