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mục đích sử dụng, di dời tháo dỡ công trình quốc phòng và khu quân sự thuộc nhóm II, Nhóm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công trình quốc phòng và khu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đứng tên có văn bản đề nghị và lập hồ sơ gửi Cục Tác chiến/BTTM và đơn vị quản lý công trình quốc phòng và khu quân sự.</w:t>
      </w:r>
    </w:p>
    <w:p>
      <w:pPr>
        <w:spacing w:after="0" w:before="0" w:lineRule="auto" w:line="276"/>
        <w:jc w:val="both"/>
      </w:pPr>
      <w:r>
        <w:rPr>
          <w:rFonts w:ascii="Times New Roman" w:hAnsi="Times New Roman" w:cs="Times New Roman" w:eastAsia="Times New Roman"/>
          <w:b w:val="false"/>
          <w:sz w:val="26"/>
        </w:rPr>
        <w:t>Cục tác chiến/BTTM tiếp nhận hồ sơ, phối hợp với các cơ quan chức năng của Bộ Quốc phòng, cơ quan Tác chiến, Công binh và Doanh trại cấp dưới, xem xét hồ sơ và kiểm tra thực địa, thẩm định vị trí, số lượng, khối lượng, diện tích đất thu hồi và các chi phí đền bù theo quy định, báo cáo Bộ Tổng Tham mưu quyết định đối với công trình quốc phòng và khu quân sự thuộc Nhóm II, Nhóm III.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30 ngày kể từ khi nhận đủ hồ sơ quy định.
Cách thức thực hiện: Cơ quan, tổ chức gửi hồ sơ về Cục Tác chiến/BTTM và đơn vị quản lý công trình quốc phòng và khu quân sự cấp quân khu và tương đương.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30 ngày kể từ khi nhận đủ hồ sơ quy định.
Cách thức thực hiện: Cơ quan, tổ chức gửi hồ sơ về Cục Tác chiến/BTTM và đơn vị quản lý công trình quốc phòng và khu quân sự cấp quân khu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chuyển mục đích sử dụng, di dời tháo dỡ công trình quốc phòng của  các Bộ, cơ quan ngang bộ, các cơ quan thuộc Chính phủ, Ban Quản lý dự án cấp nhà nước và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Quyết định của cấp có thẩm quyền phê duyệt quy hoạch dự án phát triển kinh tế xã hội liên quan (sau khi có sự đồng thuận của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đồ xác định ranh giới quy hoạch của dự án được UBND cấp tỉnh và Bộ Chỉ huy quân sự cấp tỉnh, thành phố trực thuộc Trung ương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Thiết kế và dự toán chi phí đền bù công trình quốc phòng và khu quân sự do đơn vị quản lý công trình phối hợp với Ban quản lý dự án liên quan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Tác chiến/Bộ Tổng Tham mưu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Tổng Tham mưu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Tác chiến, Công binh và Doanh trại cấp dưới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Quyết định chuyển đổi mục đích sử dụng và di dời tháo dỡ.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13/2003/QH11</w:t>
            </w:r>
          </w:p>
        </w:tc>
        <w:tc>
          <w:p/>
          <w:p>
            <w:pPr>
              <w:spacing w:after="0" w:before="0" w:lineRule="auto" w:line="276"/>
              <w:jc w:val="left"/>
            </w:pPr>
            <w:r>
              <w:rPr>
                <w:rFonts w:ascii="Times New Roman" w:hAnsi="Times New Roman" w:cs="Times New Roman" w:eastAsia="Times New Roman"/>
                <w:b w:val="false"/>
                <w:sz w:val="26"/>
              </w:rPr>
              <w:t>Luật 13/2003/QH11</w:t>
            </w:r>
          </w:p>
        </w:tc>
        <w:tc>
          <w:p/>
          <w:p>
            <w:pPr>
              <w:spacing w:after="0" w:before="0" w:lineRule="auto" w:line="276"/>
              <w:jc w:val="left"/>
            </w:pPr>
            <w:r>
              <w:rPr>
                <w:rFonts w:ascii="Times New Roman" w:hAnsi="Times New Roman" w:cs="Times New Roman" w:eastAsia="Times New Roman"/>
                <w:b w:val="false"/>
                <w:sz w:val="26"/>
              </w:rPr>
              <w:t>26-11-2003</w:t>
            </w:r>
          </w:p>
        </w:tc>
        <w:tc>
          <w:p/>
        </w:tc>
      </w:tr>
      <w:tr>
        <w:tc>
          <w:p/>
          <w:p>
            <w:pPr>
              <w:spacing w:after="0" w:before="0" w:lineRule="auto" w:line="276"/>
              <w:jc w:val="left"/>
            </w:pPr>
            <w:r>
              <w:rPr>
                <w:rFonts w:ascii="Times New Roman" w:hAnsi="Times New Roman" w:cs="Times New Roman" w:eastAsia="Times New Roman"/>
                <w:b w:val="false"/>
                <w:sz w:val="26"/>
              </w:rPr>
              <w:t>181/2004/NĐ-CP</w:t>
            </w:r>
          </w:p>
        </w:tc>
        <w:tc>
          <w:p/>
          <w:p>
            <w:pPr>
              <w:spacing w:after="0" w:before="0" w:lineRule="auto" w:line="276"/>
              <w:jc w:val="left"/>
            </w:pPr>
            <w:r>
              <w:rPr>
                <w:rFonts w:ascii="Times New Roman" w:hAnsi="Times New Roman" w:cs="Times New Roman" w:eastAsia="Times New Roman"/>
                <w:b w:val="false"/>
                <w:sz w:val="26"/>
              </w:rPr>
              <w:t>Nghị định 181/2004/NĐ-CP</w:t>
            </w:r>
          </w:p>
        </w:tc>
        <w:tc>
          <w:p/>
          <w:p>
            <w:pPr>
              <w:spacing w:after="0" w:before="0" w:lineRule="auto" w:line="276"/>
              <w:jc w:val="left"/>
            </w:pPr>
            <w:r>
              <w:rPr>
                <w:rFonts w:ascii="Times New Roman" w:hAnsi="Times New Roman" w:cs="Times New Roman" w:eastAsia="Times New Roman"/>
                <w:b w:val="false"/>
                <w:sz w:val="26"/>
              </w:rPr>
              <w:t>29-10-2004</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32-L/CTN</w:t>
            </w:r>
          </w:p>
        </w:tc>
        <w:tc>
          <w:p/>
          <w:p>
            <w:pPr>
              <w:spacing w:after="0" w:before="0" w:lineRule="auto" w:line="276"/>
              <w:jc w:val="left"/>
            </w:pPr>
            <w:r>
              <w:rPr>
                <w:rFonts w:ascii="Times New Roman" w:hAnsi="Times New Roman" w:cs="Times New Roman" w:eastAsia="Times New Roman"/>
                <w:b w:val="false"/>
                <w:sz w:val="26"/>
              </w:rPr>
              <w:t>Pháp lệnh 32-L/CTN - 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19-05-1994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04/CP</w:t>
            </w:r>
          </w:p>
        </w:tc>
        <w:tc>
          <w:p/>
          <w:p>
            <w:pPr>
              <w:spacing w:after="0" w:before="0" w:lineRule="auto" w:line="276"/>
              <w:jc w:val="left"/>
            </w:pPr>
            <w:r>
              <w:rPr>
                <w:rFonts w:ascii="Times New Roman" w:hAnsi="Times New Roman" w:cs="Times New Roman" w:eastAsia="Times New Roman"/>
                <w:b w:val="false"/>
                <w:sz w:val="26"/>
              </w:rPr>
              <w:t>Nghị định 04/CP</w:t>
            </w:r>
          </w:p>
        </w:tc>
        <w:tc>
          <w:p/>
          <w:p>
            <w:pPr>
              <w:spacing w:after="0" w:before="0" w:lineRule="auto" w:line="276"/>
              <w:jc w:val="left"/>
            </w:pPr>
            <w:r>
              <w:rPr>
                <w:rFonts w:ascii="Times New Roman" w:hAnsi="Times New Roman" w:cs="Times New Roman" w:eastAsia="Times New Roman"/>
                <w:b w:val="false"/>
                <w:sz w:val="26"/>
              </w:rPr>
              <w:t>16-01-1995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công trình quốc phòng và khu quân sự hoàn thành nhiệm vụ, cần thiết chuyển làm di tích lịch sử văn hoá theo dự án, sau khi thống nhất với Bộ Quốc phòng và được cấp có thẩm quyền phê duyệt.
2.	Di dời công trình quốc phòng trong phạm vi ranh giới các dự án kinh tế, văn hóa xã hội, an ninh của Nhà nước hoặc địa phương đã được thống nhất với Bộ Quốc phòng và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2026-05-23T16:46:34Z</dcterms:created>
  <dc:creator>Apache POI</dc:creator>
</cp:coreProperties>
</file>