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giới thiệu đi thăm viếng mộ liệt sĩ và hỗ trợ 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lập hồ sơ theo quy định, gửi Phòng Lao động - Thương binh và Xã hội tại địa phương nơi quản lý hồ sơ gốc của liệt sĩ.</w:t>
      </w:r>
    </w:p>
    <w:p>
      <w:pPr>
        <w:spacing w:after="0" w:before="0" w:lineRule="auto" w:line="276"/>
        <w:jc w:val="both"/>
      </w:pPr>
      <w:r>
        <w:rPr>
          <w:rFonts w:ascii="Times New Roman" w:hAnsi="Times New Roman" w:cs="Times New Roman" w:eastAsia="Times New Roman"/>
          <w:b w:val="false"/>
          <w:sz w:val="26"/>
        </w:rPr>
        <w:t>Bước 2: Phòng Lao động - Thương binh và Xã hội trong thời gian 03 ngày làm việc kể từ ngày nhận đủ hồ sơ, có trách nhiệm kiểm tra và cấp giấy giới thiệu đi thăm viếng mộ liệt sĩ (mẫu số 03-GGT).
Trường hợp giấy tờ nộp không hợp lệ thì trong thời gian 03 ngày làm việc phải gửi văn bản trả lời nêu rõ lý do kèm toàn bộ giấy tờ đã nộp cho người đứng đơn để hoàn thiện theo quy định</w:t>
      </w:r>
    </w:p>
    <w:p>
      <w:pPr>
        <w:spacing w:after="0" w:before="0" w:lineRule="auto" w:line="276"/>
        <w:jc w:val="both"/>
      </w:pPr>
      <w:r>
        <w:rPr>
          <w:rFonts w:ascii="Times New Roman" w:hAnsi="Times New Roman" w:cs="Times New Roman" w:eastAsia="Times New Roman"/>
          <w:b w:val="false"/>
          <w:sz w:val="26"/>
        </w:rPr>
        <w:t>Bước 3: Nơi quản lý mộ hoặc nơi có thông tin hy sinh của liệt sĩ:
Cơ quan Lao động - Thương binh và Xã hội căn cứ giấy giới thiệu có trách nhiệm xác nhận về việc thăm viếng mộ liệt sĩ.</w:t>
      </w:r>
    </w:p>
    <w:p>
      <w:pPr>
        <w:spacing w:after="0" w:before="0" w:lineRule="auto" w:line="276"/>
        <w:jc w:val="both"/>
      </w:pPr>
      <w:r>
        <w:rPr>
          <w:rFonts w:ascii="Times New Roman" w:hAnsi="Times New Roman" w:cs="Times New Roman" w:eastAsia="Times New Roman"/>
          <w:b w:val="false"/>
          <w:sz w:val="26"/>
        </w:rPr>
        <w:t>Bước 4: Phòng Lao động - Thương binh và Xã hội nơi cấp giấy giới thiệu đi thăm viếng mộ liệt sĩ căn cứ vào xác nhận về việc thăm viếng mộ để thực hiện chi hỗ trợ tiền đi lại, tiền ăn cho thân nhân liệt sĩ (không quá ba người) hoặc người thờ cúng liệt sĩ trong thời gian 01 ngày làm việc kể từ ngày nhận được các giấy tờ hợp lệ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gửi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gửi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gia đình liệt sĩ hoặc bản sao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thăm viếng mộ liệt sĩ (mẫu số 11-MLS)</w:t>
            </w:r>
          </w:p>
        </w:tc>
        <w:tc>
          <w:p/>
          <w:p>
            <w:pPr>
              <w:spacing w:after="0" w:before="0" w:lineRule="auto" w:line="276"/>
              <w:jc w:val="left"/>
            </w:pPr>
            <w:r>
              <w:rPr>
                <w:rFonts w:ascii="Times New Roman" w:hAnsi="Times New Roman" w:cs="Times New Roman" w:eastAsia="Times New Roman"/>
                <w:b w:val="false"/>
                <w:sz w:val="26"/>
              </w:rPr>
              <w:t>11 - MLS.docx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sau:  Giấy báo tin mộ liệt sĩ của Sở Lao động - Thương binh và Xã hội hoặc giấy xác nhận mộ liệt sĩ của cơ quan quản lý nghĩa trang liệt sĩ nơi an táng mộ liệt sĩ đối với trường hợp mộ liệt sĩ có đầy đủ thông tin;  Giấy xác nhận của Sở Lao động - Thương binh và Xã hội đối với trường hợp chưa xác định được mộ cụ thể trong nghĩa trang liệt sĩ nhưng có tên trong danh sách quản lý của nghĩa trang;  Giấy báo tử ghi thông tin địa phương nơi liệt sĩ hy sinh hoặc thông báo của cơ quan có thẩm quyền cấp giấy báo tử đối với trường hợp mộ liệt sĩ chưa quy tập vào nghĩa trang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Lao động- Thương Binh và Xã hội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đi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13/2014/TTLT-BLĐTBXH-BTC</w:t>
            </w:r>
          </w:p>
        </w:tc>
        <w:tc>
          <w:p/>
          <w:p>
            <w:pPr>
              <w:spacing w:after="0" w:before="0" w:lineRule="auto" w:line="276"/>
              <w:jc w:val="left"/>
            </w:pPr>
            <w:r>
              <w:rPr>
                <w:rFonts w:ascii="Times New Roman" w:hAnsi="Times New Roman" w:cs="Times New Roman" w:eastAsia="Times New Roman"/>
                <w:b w:val="false"/>
                <w:sz w:val="26"/>
              </w:rPr>
              <w:t>Thông tư liên tịch 13/2014/TTLT-BLĐTBXH-BTC - Hướng dẫn chế độ điều dưỡng phục hồi sức khỏe, cấp phương tiện trợ giúp, dụng cụ chỉnh hình đối với người có công với cách mạng và thân nhân; quản lý các công trình ghi công liệt sĩ</w:t>
            </w:r>
          </w:p>
        </w:tc>
        <w:tc>
          <w:p/>
          <w:p>
            <w:pPr>
              <w:spacing w:after="0" w:before="0" w:lineRule="auto" w:line="276"/>
              <w:jc w:val="left"/>
            </w:pPr>
            <w:r>
              <w:rPr>
                <w:rFonts w:ascii="Times New Roman" w:hAnsi="Times New Roman" w:cs="Times New Roman" w:eastAsia="Times New Roman"/>
                <w:b w:val="false"/>
                <w:sz w:val="26"/>
              </w:rPr>
              <w:t>03-06-2014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2026-05-22T16:28:47Z</dcterms:created>
  <dc:creator>Apache POI</dc:creator>
</cp:coreProperties>
</file>