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2.001376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3002/QĐ-BQP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tuyển sinh đào tạo trình độ đại học, cao đẳng quân sự hệ chính quy</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Tuyển sinh quân sự</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Thí sinh tự mình viết kê khai các mẫu biểu, hồ sơ đăng ký dự thi và trực tiếp đến nộp hồ sơ đăng ký dự thi cho Ban Tuyển sinh quân sự cấp huyện; Khi đến nộp hồ sơ đăng ký dự thi thí sinh phải mang theo Giấy chứng minh thư nhân dân, sổ hộ khẩu và các giấy tờ tùy thân khác để đối chiếu.</w:t>
      </w:r>
    </w:p>
    <w:p>
      <w:pPr>
        <w:spacing w:after="0" w:before="0" w:lineRule="auto" w:line="276"/>
        <w:jc w:val="both"/>
      </w:pPr>
      <w:r>
        <w:rPr>
          <w:rFonts w:ascii="Times New Roman" w:hAnsi="Times New Roman" w:cs="Times New Roman" w:eastAsia="Times New Roman"/>
          <w:b w:val="false"/>
          <w:sz w:val="26"/>
        </w:rPr>
        <w:t>Bước 2: Ban Tuyển sinh cấp huyện tổ chức khám sơ tuyển sức khỏe (do Hội đồng khám sức khỏe nghĩa vụ quân sự cấp huyện thực hiện): Khám lâm sàng và kết luận sức khoẻ theo tám chỉ tiêu quy định tại Thông tư liên tịch số 36/2011/TTLT-BYT-BQP ngày 17/10/2011 của Bộ trưởng Bộ Y tế, Bộ trưởng Bộ Quốc phòng hướng dẫn khám sức khỏe thực hiện nghĩa vụ quân sự); Trường hợp trúng tuyển, trong hồ sơ nhập học ngoài phiếu sức khoẻ phải có đủ các loại xét nghiệm (được làm tại trung tâm y tế cấp huyện trở lên) gồm: Phim X - quang chụp tim, phổi thẳng; kết quả điện tim; kết quả xét nghiệm HIV, ma tuý; Protein và đường nước tiểu.</w:t>
      </w:r>
    </w:p>
    <w:p>
      <w:pPr>
        <w:spacing w:after="0" w:before="0" w:lineRule="auto" w:line="276"/>
        <w:jc w:val="both"/>
      </w:pPr>
      <w:r>
        <w:rPr>
          <w:rFonts w:ascii="Times New Roman" w:hAnsi="Times New Roman" w:cs="Times New Roman" w:eastAsia="Times New Roman"/>
          <w:b w:val="false"/>
          <w:sz w:val="26"/>
        </w:rPr>
        <w:t>Bước 3: Ban Tuyển sinh quân sự cấp huyện tổ chức xác minh chính trị, gồm: Tình hình kinh tế, chính trị của gia đình; tình hình bản thân thí sinh; người cung cấp lý lịch. Xét duyệt hồ sơ đăng ký dự thi kết luận cụ thể những trường hợp đủ tiêu chuẩn và những trường hợp không đủ tiêu chuẩn; tổng hợp số đủ tiêu chuẩn được dự thi theo từng trường, nộp hồ sơ và danh sách về Ban Tuyển sinh quân sự cấp tỉnh; trường hợp không đủ tiêu chuẩn dự thi phải thông báo lý do cụ thể tới thí sinh.</w:t>
      </w:r>
    </w:p>
    <w:p>
      <w:pPr>
        <w:spacing w:after="0" w:before="0" w:lineRule="auto" w:line="276"/>
        <w:jc w:val="both"/>
      </w:pPr>
      <w:r>
        <w:rPr>
          <w:rFonts w:ascii="Times New Roman" w:hAnsi="Times New Roman" w:cs="Times New Roman" w:eastAsia="Times New Roman"/>
          <w:b w:val="false"/>
          <w:sz w:val="26"/>
        </w:rPr>
        <w:t>Bước 4: Ban Tuyển sinh quân sự cấp tỉnh xét duyệt kết quả đề nghị của cấp huyện; tổng hợp, bàn giao hồ sơ, danh sách thí sinh đăng ký dự thi cho các trường và báo cáo về Ban Tuyển sinh quân sự Bộ Quốc phòng.</w:t>
      </w:r>
    </w:p>
    <w:p>
      <w:pPr>
        <w:spacing w:after="0" w:before="0" w:lineRule="auto" w:line="276"/>
        <w:jc w:val="both"/>
      </w:pPr>
      <w:r>
        <w:rPr>
          <w:rFonts w:ascii="Times New Roman" w:hAnsi="Times New Roman" w:cs="Times New Roman" w:eastAsia="Times New Roman"/>
          <w:b w:val="false"/>
          <w:sz w:val="26"/>
        </w:rPr>
        <w:t>Bước 5: Các trường tổ chức thẩm định và xét duyệt hồ sơ thí sinh đăng ký dự thi:
a) Thành phần tổ xét duyệt do Chủ tịch Hội đồng tuyển sinh trường quyết định, gồm: Cán bộ ngành bảo vệ, thanh tra và các cơ quan chức năng của trường;
b) Tổ chức xét duyệt hồ sơ chặt chẽ, kiểm tra ảnh, lý lịch chính trị gia đình, kết quả khám sức khoẻ, chính sách ưu tiên và các nội dung kê khai trong hồ sơ đăng ký dự thi của thí sinh, đối chiếu với các tiêu chuẩn quy định để kết luận thí sinh đủ tiêu chuẩn hay không dự thi;
Không nhận hồ sơ không đúng quy định, như: Xác minh do người đăng ký dự thi tự khai, tự xin xác nhận của cấp ủy địa phương; cấp ủy địa phương kết luận không rõ về lý lịch chính trị và điều kiện phát ừiển vào Đảng Cộng sản Việt Nam; hồ sơ không dán ảnh, không đóng dấu hoặc đóng dấu không rõ;
Trường hợp có nghi vấn, hoặc có nội dung chưa rõ phải yêu cầu địa phương, đơn vị đăng ký dự thi làm rõ.
c) Tổng hợp báo cáo kết quả xét duyệt về Ban Tuyển sinh quân sự Bộ Quốc phòng và 675 thông báo cho các địa phương trước ngày 20 tháng 5; gửi phiếu báo thi cho thí sinh đủ điều kiện dự thi trước ngày 27 tháng 5 hằng năm
d) Trường hợp thí sinh là thanh niên ngoài Quân đội đã nộp hồ sơ đăng ký dự thi, qua xét duyệt các trường kết luận không đủ tiêu chuẩn dự thi, các trường phải thông báo cho Ban Tuyển sinh quân sự nơi thí sinh đăng ký dự thi và thí sinh biết;
Để bảo đảm quyền lợi cho thí sinh đăng ký dự thi (nhất là với những thí sinh chỉ đăng ký dự thi một trường duy nhất), các trường vẫn bố trí cho thí sinh được dự thi tại trường (nếu thí sinh có nguyện vọng);
Khi thí sinh đến làm thủ tục dự thi, phải tự nguyện làm cam kết dự thi để lấy kết quả thi xét tuyển vào các trường khác không phải hệ quân sự đào tạo cho quân đội.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Thời gian tổ chức khám sức khỏe cho thí sinh đăng ký dự thi vào 02 đợt: + Đợt 1 vào cuối tháng 3 đến đầu tháng 4 hằng năm; + Đợt 2 từ ngày 16 đến ngày 20 tháng 4 hằng năm. -	Kết quả xét duyệt về Ban Tuyển sinh quân sự Bộ Quốc phòng và thông báo cho các địa phương trước ngày 20 tháng 5; gửi phiếu báo thi cho thí sinh đủ điều kiện dự thi trước ngày 27 tháng 5 hằng năm.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(Thu và sử dụng lệ phí tuyển sinh thực hiện theo Quyết định số 2180/QĐ-BQP ngày 21/6/2013 của Bộ trưởng Bộ Quốc phòng về việc Ban hành Quy định thu và sử dụng phí dự thi, dự tuyển (lệ phí tuyển sinh) đại học, cao đẳng và trung cấp chuyên nghiệp trong Quân đội; Thông tư liên tịch số 21 /2010/TTLT-BTC-BGDĐT ngày 11/02/2010 của Bộ Tài chính, Bộ Giáo dục và Đào tạo quy định chế độ thu và sử dụng phí dự thi dự tuyển (lệ phí tuyển sinh) đại học, cao đẳng và trung cấp chuyên nghiệp, cụ thể: 1.	Phí sơ tuyển: 50.000 đồng/hồ sơ. Riêng sơ tuyển các ngành năng khiếu: 120.000 đồng/hồ sơ (bao gồm tất cả các môn). 2.	Phí đăng ký dự thi: 60.000 đồng/hồ sơ. 3.	Phí dự thi: 45.000 đồng/hồ sơ. Riêng dự thi năng khiếu: 300.000 đồng/hồ sơ (bao gồm tất cả các môn). 4.	Phí xét tuyển hoặc tuyển thẳng: 30.000 đồng/hồ sơ.)</w:t>
            </w:r>
          </w:p>
        </w:tc>
        <w:tc>
          <w:p/>
          <w:p>
            <w:pPr>
              <w:spacing w:after="0" w:before="0" w:lineRule="auto" w:line="276"/>
              <w:jc w:val="left"/>
            </w:pPr>
            <w:r>
              <w:rPr>
                <w:rFonts w:ascii="Times New Roman" w:hAnsi="Times New Roman" w:cs="Times New Roman" w:eastAsia="Times New Roman"/>
                <w:b w:val="false"/>
                <w:sz w:val="26"/>
              </w:rPr>
              <w:t>Cách thức thực hiện: Thí sinh trực tiếp đăng ký tại Ban Tuyển sinh quân sự cấp huyện.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03 phiếu đăng ký dự thi theo quy định của Bộ Giáo dục và Đào tạo và Bộ Quốc phòng</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01 phiếu khám sức khoẻ</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01 bản thẩm tra, xác minh chính trị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01 giấy chứng nhận được hưởng ưu tiên đối với những thí sinh thuộc diện ưu tiên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06 ảnh chân dung cỡ 4x6 cm theo quy định tại Khoản 3, Điều 17 Thông tư này số 03/2014/TT-BQP</w:t>
            </w:r>
          </w:p>
        </w:tc>
        <w:tc>
          <w:p/>
        </w:tc>
        <w:tc>
          <w:p/>
          <w:p>
            <w:pPr>
              <w:spacing w:after="0" w:before="0" w:lineRule="auto" w:line="276"/>
              <w:jc w:val="left"/>
            </w:pPr>
            <w:r>
              <w:rPr>
                <w:rFonts w:ascii="Times New Roman" w:hAnsi="Times New Roman" w:cs="Times New Roman" w:eastAsia="Times New Roman"/>
                <w:b w:val="false"/>
                <w:sz w:val="26"/>
              </w:rPr>
              <w:t xml:space="preserve">Bản chính: </w:t>
              <w:t>6</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Tuyển sinh quân sự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Hội đồng Tuyển sinh các học viện, trường sĩ quan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Phiếu báo thi cho thí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43/2005/QH11</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Nghĩa vụ quân sự</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03/2014/TT-BQP</w:t>
            </w:r>
          </w:p>
        </w:tc>
        <w:tc>
          <w:p/>
          <w:p>
            <w:pPr>
              <w:spacing w:after="0" w:before="0" w:lineRule="auto" w:line="276"/>
              <w:jc w:val="left"/>
            </w:pPr>
            <w:r>
              <w:rPr>
                <w:rFonts w:ascii="Times New Roman" w:hAnsi="Times New Roman" w:cs="Times New Roman" w:eastAsia="Times New Roman"/>
                <w:b w:val="false"/>
                <w:sz w:val="26"/>
              </w:rPr>
              <w:t>Về quy định chi tiết và hướng dẫn thực hiện công tác tuyển sinh vào các trường trong Quân đội</w:t>
            </w:r>
          </w:p>
        </w:tc>
        <w:tc>
          <w:p/>
          <w:p>
            <w:pPr>
              <w:spacing w:after="0" w:before="0" w:lineRule="auto" w:line="276"/>
              <w:jc w:val="left"/>
            </w:pPr>
            <w:r>
              <w:rPr>
                <w:rFonts w:ascii="Times New Roman" w:hAnsi="Times New Roman" w:cs="Times New Roman" w:eastAsia="Times New Roman"/>
                <w:b w:val="false"/>
                <w:sz w:val="26"/>
              </w:rPr>
              <w:t>16-01-2014</w:t>
            </w:r>
          </w:p>
        </w:tc>
        <w:tc>
          <w:p/>
          <w:p>
            <w:pPr>
              <w:spacing w:after="0" w:before="0" w:lineRule="auto" w:line="276"/>
              <w:jc w:val="left"/>
            </w:pPr>
            <w:r>
              <w:rPr>
                <w:rFonts w:ascii="Times New Roman" w:hAnsi="Times New Roman" w:cs="Times New Roman" w:eastAsia="Times New Roman"/>
                <w:b w:val="false"/>
                <w:sz w:val="26"/>
              </w:rPr>
              <w:t>Bộ Quốc phòng</w:t>
            </w:r>
          </w:p>
        </w:tc>
      </w:tr>
      <w:tr>
        <w:tc>
          <w:p/>
          <w:p>
            <w:pPr>
              <w:spacing w:after="0" w:before="0" w:lineRule="auto" w:line="276"/>
              <w:jc w:val="left"/>
            </w:pPr>
            <w:r>
              <w:rPr>
                <w:rFonts w:ascii="Times New Roman" w:hAnsi="Times New Roman" w:cs="Times New Roman" w:eastAsia="Times New Roman"/>
                <w:b w:val="false"/>
                <w:sz w:val="26"/>
              </w:rPr>
              <w:t>19/2008/QH12</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Sĩ quan quân đội nhân dân Việt Nam</w:t>
            </w:r>
          </w:p>
        </w:tc>
        <w:tc>
          <w:p/>
          <w:p>
            <w:pPr>
              <w:spacing w:after="0" w:before="0" w:lineRule="auto" w:line="276"/>
              <w:jc w:val="left"/>
            </w:pPr>
            <w:r>
              <w:rPr>
                <w:rFonts w:ascii="Times New Roman" w:hAnsi="Times New Roman" w:cs="Times New Roman" w:eastAsia="Times New Roman"/>
                <w:b w:val="false"/>
                <w:sz w:val="26"/>
              </w:rPr>
              <w:t>03-06-2008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38/2005/QH11</w:t>
            </w:r>
          </w:p>
        </w:tc>
        <w:tc>
          <w:p/>
          <w:p>
            <w:pPr>
              <w:spacing w:after="0" w:before="0" w:lineRule="auto" w:line="276"/>
              <w:jc w:val="left"/>
            </w:pPr>
            <w:r>
              <w:rPr>
                <w:rFonts w:ascii="Times New Roman" w:hAnsi="Times New Roman" w:cs="Times New Roman" w:eastAsia="Times New Roman"/>
                <w:b w:val="false"/>
                <w:sz w:val="26"/>
              </w:rPr>
              <w:t>Luật Giáo dục</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134/2006/NĐ-CP</w:t>
            </w:r>
          </w:p>
        </w:tc>
        <w:tc>
          <w:p/>
          <w:p>
            <w:pPr>
              <w:spacing w:after="0" w:before="0" w:lineRule="auto" w:line="276"/>
              <w:jc w:val="left"/>
            </w:pPr>
            <w:r>
              <w:rPr>
                <w:rFonts w:ascii="Times New Roman" w:hAnsi="Times New Roman" w:cs="Times New Roman" w:eastAsia="Times New Roman"/>
                <w:b w:val="false"/>
                <w:sz w:val="26"/>
              </w:rPr>
              <w:t>Nghị định 134/2006/NĐ-CP</w:t>
            </w:r>
          </w:p>
        </w:tc>
        <w:tc>
          <w:p/>
          <w:p>
            <w:pPr>
              <w:spacing w:after="0" w:before="0" w:lineRule="auto" w:line="276"/>
              <w:jc w:val="left"/>
            </w:pPr>
            <w:r>
              <w:rPr>
                <w:rFonts w:ascii="Times New Roman" w:hAnsi="Times New Roman" w:cs="Times New Roman" w:eastAsia="Times New Roman"/>
                <w:b w:val="false"/>
                <w:sz w:val="26"/>
              </w:rPr>
              <w:t>14-11-2006</w:t>
            </w:r>
          </w:p>
        </w:tc>
        <w:tc>
          <w:p/>
        </w:tc>
      </w:tr>
      <w:tr>
        <w:tc>
          <w:p/>
          <w:p>
            <w:pPr>
              <w:spacing w:after="0" w:before="0" w:lineRule="auto" w:line="276"/>
              <w:jc w:val="left"/>
            </w:pPr>
            <w:r>
              <w:rPr>
                <w:rFonts w:ascii="Times New Roman" w:hAnsi="Times New Roman" w:cs="Times New Roman" w:eastAsia="Times New Roman"/>
                <w:b w:val="false"/>
                <w:sz w:val="26"/>
              </w:rPr>
              <w:t>48/2019/QH14</w:t>
            </w:r>
          </w:p>
        </w:tc>
        <w:tc>
          <w:p/>
          <w:p>
            <w:pPr>
              <w:spacing w:after="0" w:before="0" w:lineRule="auto" w:line="276"/>
              <w:jc w:val="left"/>
            </w:pPr>
            <w:r>
              <w:rPr>
                <w:rFonts w:ascii="Times New Roman" w:hAnsi="Times New Roman" w:cs="Times New Roman" w:eastAsia="Times New Roman"/>
                <w:b w:val="false"/>
                <w:sz w:val="26"/>
              </w:rPr>
              <w:t>Luật dân quân tự vệ</w:t>
            </w:r>
          </w:p>
        </w:tc>
        <w:tc>
          <w:p/>
          <w:p>
            <w:pPr>
              <w:spacing w:after="0" w:before="0" w:lineRule="auto" w:line="276"/>
              <w:jc w:val="left"/>
            </w:pPr>
            <w:r>
              <w:rPr>
                <w:rFonts w:ascii="Times New Roman" w:hAnsi="Times New Roman" w:cs="Times New Roman" w:eastAsia="Times New Roman"/>
                <w:b w:val="false"/>
                <w:sz w:val="26"/>
              </w:rPr>
              <w:t>22-11-2019</w:t>
            </w:r>
          </w:p>
        </w:tc>
        <w:tc>
          <w:p/>
          <w:p>
            <w:pPr>
              <w:spacing w:after="0" w:before="0" w:lineRule="auto" w:line="276"/>
              <w:jc w:val="left"/>
            </w:pPr>
            <w:r>
              <w:rPr>
                <w:rFonts w:ascii="Times New Roman" w:hAnsi="Times New Roman" w:cs="Times New Roman" w:eastAsia="Times New Roman"/>
                <w:b w:val="false"/>
                <w:sz w:val="26"/>
              </w:rPr>
              <w:t>Văn phòng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Về chính trị, đạo đức: Lý lịch chính trị gia đình và bản thân rõ ràng, đủ điều kiện để có thể kết nạp vào Đảng Cộng sản Việt Nam theo Điều lệ Đảng, không vi phạm các điểm nêu trong Điều 2 Quy định số 57-QĐ/TW ngày 03 tháng 5 năm 2007 của Bộ Chính trị - Khoá X và Hướng dẫn số 11/HD-BTCTW ngày 24/10/2007 của Ban Tổ chức Trung ương về thực hiện Quy định số 57- QĐ/TW “Một số vấn đề về bảo vệ chính trị nội bộ Đảng” và “Một số điểm trong công tác quản lý cán bộ” của Quân đội; Phẩm chất đạo đức tốt, là Đoàn viện Đoàn Thanh niên Cộng sản Hồ Chí Minh.
Trên cơ thể không có hình xăm mang tính kinh dị, kỳ quái, kích động, bạo lực gây phản cảm.
2.	Về văn hóa, độ tuổi
a)	Trình độ văn hoá: Tốt nghiệp trung học phổ thông theo hình thức giáo dục chính quy hoặc giáo dục thuờng xuyên, trung cấp chuyên nghiệp, trung học nghề, trung cấp nghề; Nguời tốt nghiệp trung cấp nghề phải là nguời tốt nghiệp trung học cơ sở, đã học đủ khối luợng kiến thức và thi tốt nghiệp các môn văn hoá trung học phổ thông đạt yêu cầu theo quy định của Bộ Giáo dục và Đào tạo.
b)	Độ tuổi, tính đến năm dự thi: Thanh niên từ 17 đến 21 tuổi; Quân nhân đã xuất ngũ từ 18 đến 23 tuổi; Thiếu sinh quân từ 17 đến 23 tuổi.
3.	Tiêu chuẩn về sức khoẻ: Tuyển chọn thí sinh (cả nam và nữ) đạt sức khoẻ loại 1 ở các chỉ tiêu: Nội khoa, tâm thần kinh, ngoại khoa, da liễu, mắt, tai - mũi - họng, hàm - mặt; được lấy những thí sinh đạt sức khoẻ loại 2 về răng.
Được tuyển những thí sinh (cả nam và nữ) mắc tật khúc xạ cận thị hoặc viễn thị không quá 3 đi - ốp; kiểm tra thị lực qua kính đạt mắt phải 10/10, tổng thị lực 2 mắt đạt 19/10 trở lên;
- Thí sinh có hộ khẩu thường trú từ 03 năm trở lên thuộc khu vực 1 hải đảo và thí sinh là người dân tộc thiểu số, dự thi vào các trường: Được lấy đến sức khoẻ loại 2 về thể lực (cả nam và nữ) nhưng thí sinh nam phải đạt chiều cao từ 1,62 m trở lên;
Thí sinh nam là người dân tộc thiểu số thi vào Trường Sĩ quan Chính trị được lấy chiều cao từ 1,60 m trở lên (các tiêu chuẩn khác thực hiện theo quy định)
Đối tượng đào tạo sĩ quan của các quân, binh chủng nếu tuyển chọn sức khoẻ theo các tiêu chuẩn riêng vẫn phải đảm bảo tiêu chuẩn chung;
Tuyến sinh phi công tại Trường Sĩ quan Không quân, chỉ tuyển chọn thí sinh đã được Quân chủng Phòng Không - Không quân tổ chức khám tuyển sức khỏe, kết luận đủ điều kiện dự thi vào đào tạo phi công quân sự.</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2026-05-16T23:38:49Z</dcterms:created>
  <dc:creator>Apache POI</dc:creator>
</cp:coreProperties>
</file>