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726/QĐ-BNN-KTHT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Bố trí ổn định dân cư ngoài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Ủy ban nhân dân cấp xã nơi đi gửi hồ sơ đến Ủy ban nhân dân cấp huyện nơi đi.</w:t>
      </w:r>
    </w:p>
    <w:p>
      <w:pPr>
        <w:spacing w:after="0" w:before="0" w:lineRule="auto" w:line="276"/>
        <w:jc w:val="both"/>
      </w:pPr>
      <w:r>
        <w:rPr>
          <w:rFonts w:ascii="Times New Roman" w:hAnsi="Times New Roman" w:cs="Times New Roman" w:eastAsia="Times New Roman"/>
          <w:b w:val="false"/>
          <w:sz w:val="26"/>
        </w:rPr>
        <w:t>Bước 2: Trong vòng 30 ngày kể từ khi nhận được hồ sơ của Ủy ban nhân dân cấp xã nơi đi, Ủy ban nhân nhân dân cấp huyện nơi đi tổ chức thẩm định hồ sơ và gửi hồ sơ đến UBND cấp tỉnh nơi đi.</w:t>
      </w:r>
    </w:p>
    <w:p>
      <w:pPr>
        <w:spacing w:after="0" w:before="0" w:lineRule="auto" w:line="276"/>
        <w:jc w:val="both"/>
      </w:pPr>
      <w:r>
        <w:rPr>
          <w:rFonts w:ascii="Times New Roman" w:hAnsi="Times New Roman" w:cs="Times New Roman" w:eastAsia="Times New Roman"/>
          <w:b w:val="false"/>
          <w:sz w:val="26"/>
        </w:rPr>
        <w:t>Bước 3: Trong vòng 10 ngày làm việc, Ủy ban nhân dân cấp cấp tỉnh nơi đi chuyển cho cơ quan quản lý chuyên ngành bố trí dân cư cấp tỉnh kiểm tra, thực hiện. Cơ quan quản lý chuyên ngành bố trí dân cư cấp tỉnh trình Ủy ban nhân dân cấp tỉnh nơi đi ban hành Quyết định di dân đến vùng dự án, phương án và gửi Quyết định đến Ủy ban nhân dân cấp tỉnh nơi đến.</w:t>
      </w:r>
    </w:p>
    <w:p>
      <w:pPr>
        <w:spacing w:after="0" w:before="0" w:lineRule="auto" w:line="276"/>
        <w:jc w:val="both"/>
      </w:pPr>
      <w:r>
        <w:rPr>
          <w:rFonts w:ascii="Times New Roman" w:hAnsi="Times New Roman" w:cs="Times New Roman" w:eastAsia="Times New Roman"/>
          <w:b w:val="false"/>
          <w:sz w:val="26"/>
        </w:rPr>
        <w:t>Bước 4: Ủy ban nhân dân cấp tỉnh nơi đến trong thời hạn 30 ngày kể từ ngày nhận được văn bản của Ủy ban nhân dân cấp tỉnh nơi đi, căn cứ vào kế hoạch bố trí, ổn định dân cư hàng năm của tỉnh, tổ chức thẩm tra địa bàn nhân dân, xem xét, ban hành quyết định tiếp nhận bố trí, ổn định dân cư đến vùng dự án, phương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UBND cấp huyện nơi đi gửi UBND cấp tỉnh nơi đi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trích ngang các hộ bố trí, ổn định dân cư ban hành kèm theo Phụ lục III của Thông tư số 19/2015/TT-BNNPTNT)</w:t>
            </w:r>
          </w:p>
        </w:tc>
        <w:tc>
          <w:p/>
          <w:p>
            <w:pPr>
              <w:spacing w:after="0" w:before="0" w:lineRule="auto" w:line="276"/>
              <w:jc w:val="left"/>
            </w:pPr>
            <w:r>
              <w:rPr>
                <w:rFonts w:ascii="Times New Roman" w:hAnsi="Times New Roman" w:cs="Times New Roman" w:eastAsia="Times New Roman"/>
                <w:b w:val="false"/>
                <w:sz w:val="26"/>
              </w:rPr>
              <w:t>Phụ lục II1.docx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của UBND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UBND cấp tỉnh nơi đi gửi UBND cấp tỉnh nơi đến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di dân đến vùng dự án, phương án bố trí, ổn định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đề nghị UBND tỉnh nơi đến phối hợp và ra Quyết định tiếp nhận bố trí, ổn định dân cư đến vùng dự án,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UBND cấp xã gửi UBND huyện nơi đi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tự nguyện bố trí, ổn định dân cư (ban hành kèm theo Phụ lục I của Thông tư số 19/2015/TT-BNNPTNT)</w:t>
            </w:r>
          </w:p>
        </w:tc>
        <w:tc>
          <w:p/>
          <w:p>
            <w:pPr>
              <w:spacing w:after="0" w:before="0" w:lineRule="auto" w:line="276"/>
              <w:jc w:val="left"/>
            </w:pPr>
            <w:r>
              <w:rPr>
                <w:rFonts w:ascii="Times New Roman" w:hAnsi="Times New Roman" w:cs="Times New Roman" w:eastAsia="Times New Roman"/>
                <w:b w:val="false"/>
                <w:sz w:val="26"/>
              </w:rPr>
              <w:t>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bình xét hộ dân được bố trí, ổn định (ban hành kèm theo Phụ lục II của Thông tư số 19/2015/TT-BNNPTNT)</w:t>
            </w:r>
          </w:p>
        </w:tc>
        <w:tc>
          <w:p/>
          <w:p>
            <w:pPr>
              <w:spacing w:after="0" w:before="0" w:lineRule="auto" w:line="276"/>
              <w:jc w:val="left"/>
            </w:pPr>
            <w:r>
              <w:rPr>
                <w:rFonts w:ascii="Times New Roman" w:hAnsi="Times New Roman" w:cs="Times New Roman" w:eastAsia="Times New Roman"/>
                <w:b w:val="false"/>
                <w:sz w:val="26"/>
              </w:rPr>
              <w:t>Phụ lục I2.docx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các hộ bố trí, ổn định dân cư ban hành kèm theo Phụ lục III của Thông tư số 19/2015/TT-BNNPTNT)</w:t>
            </w:r>
          </w:p>
        </w:tc>
        <w:tc>
          <w:p/>
          <w:p>
            <w:pPr>
              <w:spacing w:after="0" w:before="0" w:lineRule="auto" w:line="276"/>
              <w:jc w:val="left"/>
            </w:pPr>
            <w:r>
              <w:rPr>
                <w:rFonts w:ascii="Times New Roman" w:hAnsi="Times New Roman" w:cs="Times New Roman" w:eastAsia="Times New Roman"/>
                <w:b w:val="false"/>
                <w:sz w:val="26"/>
              </w:rPr>
              <w:t>Phụ lục II1.docx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19/2015/TT-BNNPTNT</w:t>
            </w:r>
          </w:p>
        </w:tc>
        <w:tc>
          <w:p/>
          <w:p>
            <w:pPr>
              <w:spacing w:after="0" w:before="0" w:lineRule="auto" w:line="276"/>
              <w:jc w:val="left"/>
            </w:pPr>
            <w:r>
              <w:rPr>
                <w:rFonts w:ascii="Times New Roman" w:hAnsi="Times New Roman" w:cs="Times New Roman" w:eastAsia="Times New Roman"/>
                <w:b w:val="false"/>
                <w:sz w:val="26"/>
              </w:rPr>
              <w:t>Quy định Quy trình bố trí, ổn định dân cư thực hiện Chương trình bố trí dân cư theo Quyết định số 1776/QĐ-TTg ngày 21 tháng 11 năm 2012 của Thủ tướng Chính phủ</w:t>
            </w:r>
          </w:p>
        </w:tc>
        <w:tc>
          <w:p/>
          <w:p>
            <w:pPr>
              <w:spacing w:after="0" w:before="0" w:lineRule="auto" w:line="276"/>
              <w:jc w:val="left"/>
            </w:pPr>
            <w:r>
              <w:rPr>
                <w:rFonts w:ascii="Times New Roman" w:hAnsi="Times New Roman" w:cs="Times New Roman" w:eastAsia="Times New Roman"/>
                <w:b w:val="false"/>
                <w:sz w:val="26"/>
              </w:rPr>
              <w:t>27-04-2015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2026-05-13T13:48:58Z</dcterms:created>
  <dc:creator>Apache POI</dc:creator>
</cp:coreProperties>
</file>