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1.003337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108/QĐ-LĐTBXH</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Ủy quyền hưởng trợ cấp, phụ cấp ưu đãi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có công hoặc thân nhân đang hưởng trợ cấp, phụ cấp ưu đãi nếu không có điều kiện trực tiếp nhận trợ cấp, phụ cấp thì phải lập giấy ủy quyền</w:t>
      </w:r>
    </w:p>
    <w:p>
      <w:pPr>
        <w:spacing w:after="0" w:before="0" w:lineRule="auto" w:line="276"/>
        <w:jc w:val="both"/>
      </w:pPr>
      <w:r>
        <w:rPr>
          <w:rFonts w:ascii="Times New Roman" w:hAnsi="Times New Roman" w:cs="Times New Roman" w:eastAsia="Times New Roman"/>
          <w:b w:val="false"/>
          <w:sz w:val="26"/>
        </w:rPr>
        <w:t>Bước 2: Ủy ban nhân dân xã tiếp nhận và xác nhận vào giấy ủy quyền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ủy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ủy quyền hưởng trợ cấp, phụ cấp ưu đãi có xác nhận của ủy ban nhân dân xã (có thời hạn 03 tháng).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05/2013/TT-BLĐTBXH</w:t>
            </w:r>
          </w:p>
        </w:tc>
        <w:tc>
          <w:p/>
          <w:p>
            <w:pPr>
              <w:spacing w:after="0" w:before="0" w:lineRule="auto" w:line="276"/>
              <w:jc w:val="left"/>
            </w:pPr>
            <w:r>
              <w:rPr>
                <w:rFonts w:ascii="Times New Roman" w:hAnsi="Times New Roman" w:cs="Times New Roman" w:eastAsia="Times New Roman"/>
                <w:b w:val="false"/>
                <w:sz w:val="26"/>
              </w:rPr>
              <w:t>Thông tư 05/2013/TT-BLĐTBXH -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2026-05-12T15:42:01Z</dcterms:created>
  <dc:creator>Apache POI</dc:creator>
</cp:coreProperties>
</file>