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2910</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trợ cấp đối với dân quân bị tai nạn hoặc đối với thân nhân khi dân quân bị tai nạn dẫn đến chết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quân tự vệ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Dân quân hoặc người đại diện hợp pháp của dân quân đối với trường hợp bị tai nạn dẫn đến chết, lập hồ sơ nộp trực tiếp cho Ban chỉ huy quân sự cấp xã;</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hồ sơ, Ban chỉ huy quân sự cấp xã có trách nhiệm kiểm tra tính hợp lệ. Trường hợp hồ sơ không hợp lệ, Ban chỉ huy quân sự cấp xã phải hướng dẫn cho dân quân hoặc nhân thân, người đại diện hợp pháp của dân quân bổ sung, hoàn thiện hồ sơ. Trường hợp hồ sơ hợp lệ, Ban chỉ huy quân sự cấp xã gửi Ban chỉ huy quân sự cấp huyện</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đủ hồ sơ hợp lệ, trường hợp hồ sơ không đủ điều kiện giải quyết thì Ban chỉ huy quân sự cấp huyện phải có văn bản thông báo rõ lý do cho người đề nghị biết. Trường hợp hồ sơ đủ điều kiện giải quyết, Ban chỉ huy quân sự cấp huyện có trách nhiệm thẩm tra và có công văn kèm theo hồ sơ gửi cơ quan quân sự cấp tỉnh</w:t>
      </w:r>
    </w:p>
    <w:p>
      <w:pPr>
        <w:spacing w:after="0" w:before="0" w:lineRule="auto" w:line="276"/>
        <w:jc w:val="both"/>
      </w:pPr>
      <w:r>
        <w:rPr>
          <w:rFonts w:ascii="Times New Roman" w:hAnsi="Times New Roman" w:cs="Times New Roman" w:eastAsia="Times New Roman"/>
          <w:b w:val="false"/>
          <w:sz w:val="26"/>
        </w:rPr>
        <w:t>Bước 4: Trong thời hạn 10 ngày làm việc, kể từ ngày nhận đủ hồ sơ hợp lệ, cơ quan quân sự cấp tỉnh có trách nhiệm thẩm định, trình Chủ tịch Ủy ban nhân dân cấp tỉnh ra quyết định trợ cấp cho dân quân hoặc người đại diện hợp pháp của dân quân</w:t>
      </w:r>
    </w:p>
    <w:p>
      <w:pPr>
        <w:spacing w:after="0" w:before="0" w:lineRule="auto" w:line="276"/>
        <w:jc w:val="both"/>
      </w:pPr>
      <w:r>
        <w:rPr>
          <w:rFonts w:ascii="Times New Roman" w:hAnsi="Times New Roman" w:cs="Times New Roman" w:eastAsia="Times New Roman"/>
          <w:b w:val="false"/>
          <w:sz w:val="26"/>
        </w:rPr>
        <w:t>Bước 5: Trong thời hạn 10 ngày làm việc, kể từ ngày ra quyết định trợ cấp, các cơ quan chức năng phải giải quyết chế độ cho dân quân hoặc người đại diện hợp pháp của dân quân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- 05 ngày làm việc cho Ban Chỉ huy quân sự cấp xã;
- 10 ngày làm việc cho Bbban Chỉ huy quân sự cấp huyện;
- 10 ngày làm việc cho Bộ Chỉ huy quân sự cấp tỉnh;
- 10 ngày làm việc cho cơ quan chức năng giải quyết chế độ.</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của dân quân hoặc thân nhân có ý kiến của Ban chỉ huy quân sự cấp xã và xác nhận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điều tra tai nạn của công an hoặc Ban chỉ huy quân sự cấp xã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xét nghiệm, đơn thuốc, hóa đơn thu tiền, giấy xuất viện, giấy chứng tử đối với trường hợp tai nạn dẫn đến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thẩm định của Ban chỉ huy quân sự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cho dân quân hoặc người đại diện hợp pháp của dân quân.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03/2016/NĐ-CP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một số điều của Luật Dân quân tự vệ.</w:t>
            </w:r>
          </w:p>
        </w:tc>
        <w:tc>
          <w:p/>
          <w:p>
            <w:pPr>
              <w:spacing w:after="0" w:before="0" w:lineRule="auto" w:line="276"/>
              <w:jc w:val="left"/>
            </w:pPr>
            <w:r>
              <w:rPr>
                <w:rFonts w:ascii="Times New Roman" w:hAnsi="Times New Roman" w:cs="Times New Roman" w:eastAsia="Times New Roman"/>
                <w:b w:val="false"/>
                <w:sz w:val="26"/>
              </w:rPr>
              <w:t>05-01-2016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43/2009/QH12</w:t>
            </w:r>
          </w:p>
        </w:tc>
        <w:tc>
          <w:p/>
          <w:p>
            <w:pPr>
              <w:spacing w:after="0" w:before="0" w:lineRule="auto" w:line="276"/>
              <w:jc w:val="left"/>
            </w:pPr>
            <w:r>
              <w:rPr>
                <w:rFonts w:ascii="Times New Roman" w:hAnsi="Times New Roman" w:cs="Times New Roman" w:eastAsia="Times New Roman"/>
                <w:b w:val="false"/>
                <w:sz w:val="26"/>
              </w:rPr>
              <w:t>Dân quân tự vệ</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Cán bộ, chiến sỹ dân quân chưa tham gia bảo hiểm y tế, bảo hiểm xã hội khi thực hiện nhiệm vụ quy định tại Khoản 4, Khoản 5, Khoản 6 Điều 8 của Luật Dân quân tự vệ và quyết định điều động của cấp có thẩm quyền được hưởng chế độ chính sách trong các trường hợp sau:
- Trong thời gian và tại nơi làm nhiệm vụ quy định tại Khoản 4, Khoản 5, Khoản 6 Điều 8 của Luật Dân quân tự vệ theo quyết định điều động của cấp có thẩm quyền;
- Ngoài nơi làm nhiệm vụ hoặc ngoài giờ làm nhiệm vụ theo mệnh lệnh của cấp có thẩm quyền;
- Trên tuyến đường đi và về từ nơi ở đến nơi làm nhiệm vụ trong khoảng thời gian và tuyến đường hợp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2026-05-23T19:28:48Z</dcterms:created>
  <dc:creator>Apache POI</dc:creator>
</cp:coreProperties>
</file>