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phạm vi hoạt động chuyên môn trong chứng chỉ hành nghề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Bộ Y tế sẽ xem xét thẩm định hồ sơ và có biên bản thẩm định, cụ thể:</w:t>
      </w:r>
    </w:p>
    <w:p>
      <w:pPr>
        <w:spacing w:after="0" w:before="0" w:lineRule="auto" w:line="276"/>
        <w:jc w:val="both"/>
      </w:pPr>
      <w:r>
        <w:rPr>
          <w:rFonts w:ascii="Times New Roman" w:hAnsi="Times New Roman" w:cs="Times New Roman" w:eastAsia="Times New Roman"/>
          <w:b w:val="false"/>
          <w:sz w:val="26"/>
        </w:rPr>
        <w:t>- Trường hợp hồ sơ hợp lệ, thì trong thời hạn 10 ngày làm việc, kể từ ngày có biên bản thẩm định, cơ quan tiếp nhận hồ sơ cấp bổ sung phạm vi hoạt động chuyên môn trong chứng chỉ hành nghề.</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bổ sung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bổ sung phạm vi hoạt động chuyên môn trong chứng chỉ hành nghề, Bộ Y tế sẽ có văn bản trả lời và nêu lý do.
 (Bản sao có chứng thực văn bằng chuyên môn; Giấy xác nhận quá trình thực hành; Bản sao có chứng thực giấy chứng nhận biết tiếng Việt thành thạo do tổ chức nước ngoài cấp phải được hợp pháp hóa lãnh sự và dịch ra tiếng Việt, bản dịch phải được chứng thực theo quy định của pháp luật Việt Nam.)</w:t>
      </w:r>
    </w:p>
    <w:p>
      <w:pPr>
        <w:spacing w:after="0" w:before="0" w:lineRule="auto" w:line="276"/>
        <w:jc w:val="both"/>
      </w:pPr>
      <w:r>
        <w:rPr>
          <w:rFonts w:ascii="Times New Roman" w:hAnsi="Times New Roman" w:cs="Times New Roman" w:eastAsia="Times New Roman"/>
          <w:b w:val="false"/>
          <w:sz w:val="26"/>
        </w:rPr>
        <w:t>Bước 4 : Trả Quyết định bổ sung phạm vi hoạt động chuyên môn trong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bổ sung phạm vi hoạt động chuyên môn trong chứng chỉ hành nghề theo Mẫu 05 Phụ lục I ban hành kèm theo Nghị định 109/2016/NĐ-CP;</w:t>
            </w:r>
          </w:p>
        </w:tc>
        <w:tc>
          <w:p/>
          <w:p>
            <w:pPr>
              <w:spacing w:after="0" w:before="0" w:lineRule="auto" w:line="276"/>
              <w:jc w:val="left"/>
            </w:pPr>
            <w:r>
              <w:rPr>
                <w:rFonts w:ascii="Times New Roman" w:hAnsi="Times New Roman" w:cs="Times New Roman" w:eastAsia="Times New Roman"/>
                <w:b w:val="false"/>
                <w:sz w:val="26"/>
              </w:rPr>
              <w:t>Mau 5_phulucI_ND109.docx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chứng chỉ, giấy chứng nhận chuyên môn phù hợp với phạm vi hoạt động chuyên môn đề nghị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 Người Việt Nam làm việc tại cơ sở khám bệnh, chữa bệnh thuộc Bộ Y tế và các bộ khác (trừ trường hợp thuộc thẩm quyền của Sở Y tế và Bộ Quốc phòng), người nước ngoài.
2- Điều kiện để cấp bổ sung phạm vi hoạt động chuyên môn trong chứng chỉ hành nghề đối với người Việt Nam
2.1. Có một trong các văn bằng, giấy chứng nhận sau đây phù hợp với hình thức hành nghề khám bệnh, chữa bệnh:
a) Văn bằng chuyên môn liên quan đến y tế được cấp hoặc công nhận tại Việt Nam;
b) Giấy chứng nhận là lương y;
c) Giấy chứng nhận là người có bài thuốc gia truyền hoặc có phương pháp chữa bệnh gia truyền.
2.2.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2026-05-20T05:10:55Z</dcterms:created>
  <dc:creator>Apache POI</dc:creator>
</cp:coreProperties>
</file>