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chấp thuận độ cao công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vùng trời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cấp phép xây dựng hoặc chủ đầu tư, chủ sở hữu công trình lập hồ sơ gửi qua hệ thống bưu chính đến Cục Tác chiến - Bộ Tổng Tham mưu Quân đội nhân dân Việt Nam theo địa chỉ: Số 1 Nguyễn Tri Phương, quận Ba Đình, thành phố Hà Nội; số điện thoại liên hệ: 069.696.172 hoặc 069.696.108; fax: 04.37337994 hoăc nộp trực tiếp tại Bộ phận Một cửa Bộ Quốc phòng hoặc nộp trực tuyến trên Cổng Dịch vụ công Bộ Quốc phòng.
Trường hợp hồ sơ không hợp lệ, trong thời hạn mười (10) ngày làm việc, kể từ ngày nhận hồ sơ, Cục Tác chiến - Bộ Tổng Tham mưu Quân đội nhân dân Việt Nam có văn bản thông báo cho cơ quan, tổ chức, cá nhân đề nghị chấp thuận độ cao công trình để bổ sung, hoàn chỉnh hồ sơ theo quy định.</w:t>
      </w:r>
    </w:p>
    <w:p>
      <w:pPr>
        <w:spacing w:after="0" w:before="0" w:lineRule="auto" w:line="276"/>
        <w:jc w:val="both"/>
      </w:pPr>
      <w:r>
        <w:rPr>
          <w:rFonts w:ascii="Times New Roman" w:hAnsi="Times New Roman" w:cs="Times New Roman" w:eastAsia="Times New Roman"/>
          <w:b w:val="false"/>
          <w:sz w:val="26"/>
        </w:rPr>
        <w:t>Bước 2: Kể từ ngày nhận đủ hồ sơ họp lệ, Cục Tác chiến - Bộ Tổng Tham mưu Quân đội nhân dân Việt Nam có trách nhiệm kiểm tra, thẩm định và có văn bản chấp thuận hoặc không chấp thuận gửi cho cơ quan, tổ chức, cá nhân đề nghị chấp thuận độ cao công trình; đồng thời, thông báo cho cơ quan cấp phép xây dựng của địa phương, Cục Hàng không Việt Nam, Tổng công ty Quản lý bay Việt Nam, Cảng Vụ hàng không khu vực và các cơ quan, đơn vị liên quan biết theo thời hạn sau:
- Mười lăm (15) ngày làm việc đối với các dự án xây dựng nhà ở, khu đô thị, khu nhà ở cao tầng, khu hạ tầng kỹ thuật công nghiệp, hệ thống cột treo đèn chiếu sáng ở khu vực tĩnh không đầu các sân bay và các công trình, cụ thể như sau:
+ Công trình có độ cao vượt lên khỏi quy hoạch các bề mặt giới hạn chướng ngại vật của sân bay và những công trình nằm trong vùng phụ cận sân bay có độ cao từ 45 mét trở lên so với mức cao sân bay.
+ Công trình có chiều cao vượt trên khu vực bề mặt giới hạn chướng ngại vật hàng không đã được công bố hoặc cao từ 45 mét trở lên so với mặt đất tự nhiên, nằm ngoài các khu vực, dự án quy hoạch đô thị, không gian đã được các Bộ, ngành, địa phương thống nhất với Bộ Tổng Tham mưu Quân đội nhân dân Việt Nam về độ cao theo quy định tại Điểm b Khoản 3 Điều 4 và Điều 8 Nghị định số 32/2016/NĐ-CP.
-  Hai mươi (20) ngày làm việc đối với các dự án xây dựng khu kinh tế, khu đặc thù, khu công nghiệp cao;
- Ba mươi (30) ngày làm việc đối với các dự án cáp treo, đường dây tải điện cao thế có chiều dài dưới 100 km, hệ thống các trạm thu, phát sóng vô tuyến số lượng từ 10 đến 50 trạm;
 - Bốn mươi lăm (45) ngày làm việc đối với các dự án đường dây tải điện cao thế có chều dài trên 100 km, hệ thống các trạm thu, phát sóng vô tuyến số lượng trên 50 trạm.
Văn bản chấp thuận độ cao công trình có những nội dung cơ bản sau: 
Tên, tính chất, quy mô công trình; chủ đầu tư, chủ sở hữu công trình; vị trí công trình: địa chỉ hành chính, tọa độ địa lý theo hệ tọa độ WGS-84 (theo kinh độ, vĩ độ thuộc độ, phút, giây) và VN 2000 nếu công trình nằm ngòai khu vực lân cận sân bay; độ cao tối đa của công trình được phép xây dựng so với cốt đất tự nhiên hoặc so với mực nước biển trung bình; hướng dẫn cảnh báo hàng không; thời hạn có hiệu lực của văn bản chấp thuận độ cao của công trình; các điểm lưu ý khác (nếu có).
Trường hợp không chấp thuận về độ cao công trình, trong thời hạn mười (10) ngày, Cục Tác chiến - Bộ Tổng Tham mưu có văn bản thông báo, nêu rõ lý do cho cơ quan, tổ chức, cá nhân đề nghị chấp thuận độ cao công trình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Tùy theo từng trường hợp, cụ thể như sau: - Mười lăm (15) ngày làm việc đối với các dự án xây dựng nhà ở, khu đô thị, khu nhà ở cao tầng, khu hạ tầng kỹ thuật công nghiệp, hệ thống cột treo đèn chiếu sáng ở khu vực tĩnh không đầu các sân bay và các công trình, cụ thể như sau: + Công trình có độ cao vượt lên khỏi quy hoạch càc bề mặt giới hạn chướng ngại vật của sân bay và những công trình nằm trong vùng phụ cận sân bay có độ cao từ 45 mét trở lên so với mức cao sân bay; + Công trình có chiều cao vượt trên khu vực bề mặt giới hạn chướng ngại vật hàng không đã được công bố hoặc cao từ 45 mét trở lên so với mặt đất tự nhiên, nằm ngoài các khu vực, dự án quy hoạch đô thị, không gian đã được các Bộ, ngành, địa phương thống nhất với Bộ Tổng Tham mưu Quân đội nhân dân Việt Nam về độ cao theo quy định tại Điểm b Khoản 3 Điều 4 và Điều 8 Nghị định số 32/2016/NĐ-CP. - Hai mươi (20) ngày làm việc đối với các dự án xây dựng khu kinh tế đặc thù, khu công nghiệp cao; - Ba mươi (30) ngày làm việc đối với các dự án cáp treo, đường dây tải điện cao thế có chiều dài dưới 100 km, hệ thống các trạm thu, phát sóng vô tuyến số lượng từ 10 đến 50 trạm; khu dac thin, khu cong nghiep cao; - Bốn mươi lăm (45) ngày làm việc đối với các dự án đường dây tải điện cao thế có chiều dài trên 100 km, hệ thống các trạm thu, phát sóng vô tuyến số lượng trên 50 trạm.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Tùy theo từng trường hợp, cụ thể như sau: - Mười lăm (15) ngày làm việc đối với các dự án xây dựng nhà ở, khu đô thị, khu nhà ở cao tầng, khu hạ tầng kỹ thuật công nghiệp, hệ thống cột treo đèn chiếu sáng ở khu vực tĩnh không đầu các sân bay và các công trình, cụ thể như sau: + Công trình có độ cao vượt lên khỏi quy hoạch càc bề mặt giới hạn chướng ngại vật của sân bay và những công trình nằm trong vùng phụ cận sân bay có độ cao từ 45 mét trở lên so với mức cao sân bay; + Công trình có chiều cao vượt trên khu vực bề mặt giới hạn chướng ngại vật hàng không đã được công bố hoặc cao từ 45 mét trở lên so với mặt đất tự nhiên, nằm ngoài các khu vực, dự án quy hoạch đô thị, không gian đã được các Bộ, ngành, địa phương thống nhất với Bộ Tổng Tham mưu Quân đội nhân dân Việt Nam về độ cao theo quy định tại Điểm b Khoản 3 Điều 4 và Điều 8 Nghị định số 32/2016/NĐ-CP. - Hai mươi (20) ngày làm việc đối với các dự án xây dựng khu kinh tế đặc thù, khu công nghiệp cao; - Ba mươi (30) ngày làm việc đối với các dự án cáp treo, đường dây tải điện cao thế có chiều dài dưới 100 km, hệ thống các trạm thu, phát sóng vô tuyến số lượng từ 10 đến 50 trạm; khu dac thin, khu cong nghiep cao; - Bốn mươi lăm (45) ngày làm việc đối với các dự án đường dây tải điện cao thế có chiều dài trên 100 km, hệ thống các trạm thu, phát sóng vô tuyến số lượng trên 50 trạm.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theo từng trường hợp, cụ thể như sau: -	Mười lăm (15) ngày làm việc đối với các dự án xây dựng nhà ở, khu đô thị, khu nhà ở cao tầng, khu hạ tầng kỹ thuật công nghiệp, hệ thống cột treo đèn chiếu sáng ở khu vực tĩnh không đầu các sân bay và các công trình, cụ thể như sau: + Công trình có độ cao vượt lên khỏi quy hoạch càc bề mặt giới hạn chướng ngại vật của sân bay và những công trình nằm trong vùng phụ cận sân bay có độ cao từ 45 mét trở lên so với mức cao sân bay; + Công trình có chiều cao vượt trên khu vực bề mặt giới hạn chướng ngại vật hàng không đã được công bố hoặc cao từ 45 mét trở lên so với mặt đất tự nhiên, nằm ngoài các khu vực, dự án quy hoạch đô thị, không gian đã được các Bộ, ngành, địa phương thống nhất với Bộ Tổng Tham mưu Quân đội nhân dân Việt Nam về độ cao theo quy định tại Điểm b Khoản 3 Điều 4 và Điều 8 Nghị định số 32/2016/NĐ-CP. -	Hai mươi (20) ngày làm việc đối với các dự án xây dựng khu kinh tế đặc thù, khu công nghiệp cao; -	Ba mươi (30) ngày làm việc đối với các dự án cáp treo, đường dây tải điện cao thế có chiều dài dưới 100 km, hệ thống các trạm thu, phát sóng vô tuyến số lượng từ 10 đến 50 trạm; khu dac thin, khu cong nghiep cao; -	Bốn mươi lăm (45) ngày làm việc đối với các dự án đường dây tải điện cao thế có chiều dài trên 100 km, hệ thống các trạm thu, phát sóng vô tuyến số lượng trên 50 trạm. </w:t>
            </w:r>
          </w:p>
        </w:tc>
        <w:tc>
          <w:p/>
          <w:p>
            <w:pPr>
              <w:spacing w:after="0" w:before="0" w:lineRule="auto" w:line="276"/>
              <w:jc w:val="left"/>
            </w:pPr>
            <w:r>
              <w:rPr>
                <w:rFonts w:ascii="Times New Roman" w:hAnsi="Times New Roman" w:cs="Times New Roman" w:eastAsia="Times New Roman"/>
                <w:b w:val="false"/>
                <w:sz w:val="26"/>
              </w:rPr>
              <w:t>Lệ 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độ cao công trình thực hiện theo Mẫu số 01-ĐNCTĐC (đối với tổ chức) và Mẫu số 02-ĐNCTĐC (đối với cá nhân)</w:t>
            </w:r>
          </w:p>
        </w:tc>
        <w:tc>
          <w:p/>
          <w:p>
            <w:pPr>
              <w:spacing w:after="0" w:before="0" w:lineRule="auto" w:line="276"/>
              <w:jc w:val="left"/>
            </w:pPr>
            <w:r>
              <w:rPr>
                <w:rFonts w:ascii="Times New Roman" w:hAnsi="Times New Roman" w:cs="Times New Roman" w:eastAsia="Times New Roman"/>
                <w:b w:val="false"/>
                <w:sz w:val="26"/>
              </w:rPr>
              <w:t>Mẫu số 01- ĐNCTDC.doc</w:t>
            </w:r>
          </w:p>
          <w:p>
            <w:pPr>
              <w:spacing w:after="0" w:before="0" w:lineRule="auto" w:line="276"/>
              <w:jc w:val="left"/>
            </w:pPr>
            <w:r>
              <w:rPr>
                <w:rFonts w:ascii="Times New Roman" w:hAnsi="Times New Roman" w:cs="Times New Roman" w:eastAsia="Times New Roman"/>
                <w:b w:val="false"/>
                <w:sz w:val="26"/>
              </w:rPr>
              <w:t>Mẫu số 02 ĐNCTDC.doc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bản đồ hoặc sơ đồ không gian, vị trí khu vực xây dựng công trình có đánh dấu vị trí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bản đồ hoặc sơ đồ không gian, vị trí khu vực xây dựng công trình có đánh dấu vị trí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Tác chiến/Bộ Tổng Tham mưu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Tác chiến/Bộ Tổng Tham mưu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hoặc không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32-L/CTN</w:t>
            </w:r>
          </w:p>
        </w:tc>
        <w:tc>
          <w:p/>
          <w:p>
            <w:pPr>
              <w:spacing w:after="0" w:before="0" w:lineRule="auto" w:line="276"/>
              <w:jc w:val="left"/>
            </w:pPr>
            <w:r>
              <w:rPr>
                <w:rFonts w:ascii="Times New Roman" w:hAnsi="Times New Roman" w:cs="Times New Roman" w:eastAsia="Times New Roman"/>
                <w:b w:val="false"/>
                <w:sz w:val="26"/>
              </w:rPr>
              <w:t>Pháp lệnh 32-L/CTN - Bảo vệ công trình quốc phòng và khu quân sự</w:t>
            </w:r>
          </w:p>
        </w:tc>
        <w:tc>
          <w:p/>
          <w:p>
            <w:pPr>
              <w:spacing w:after="0" w:before="0" w:lineRule="auto" w:line="276"/>
              <w:jc w:val="left"/>
            </w:pPr>
            <w:r>
              <w:rPr>
                <w:rFonts w:ascii="Times New Roman" w:hAnsi="Times New Roman" w:cs="Times New Roman" w:eastAsia="Times New Roman"/>
                <w:b w:val="false"/>
                <w:sz w:val="26"/>
              </w:rPr>
              <w:t>19-05-1994</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32/2016/NĐ-CP</w:t>
            </w:r>
          </w:p>
        </w:tc>
        <w:tc>
          <w:p/>
          <w:p>
            <w:pPr>
              <w:spacing w:after="0" w:before="0" w:lineRule="auto" w:line="276"/>
              <w:jc w:val="left"/>
            </w:pPr>
            <w:r>
              <w:rPr>
                <w:rFonts w:ascii="Times New Roman" w:hAnsi="Times New Roman" w:cs="Times New Roman" w:eastAsia="Times New Roman"/>
                <w:b w:val="false"/>
                <w:sz w:val="26"/>
              </w:rPr>
              <w:t>Nghị định 32/2016/NĐ-CP - Quy định về quản lý độ cao chướng ngại vật hàng không và các trận địa quản lý, bảo vệ vùng trời tại Việt Nam.</w:t>
            </w:r>
          </w:p>
        </w:tc>
        <w:tc>
          <w:p/>
          <w:p>
            <w:pPr>
              <w:spacing w:after="0" w:before="0" w:lineRule="auto" w:line="276"/>
              <w:jc w:val="left"/>
            </w:pPr>
            <w:r>
              <w:rPr>
                <w:rFonts w:ascii="Times New Roman" w:hAnsi="Times New Roman" w:cs="Times New Roman" w:eastAsia="Times New Roman"/>
                <w:b w:val="false"/>
                <w:sz w:val="26"/>
              </w:rPr>
              <w:t>06-05-2016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32-L/CTN</w:t>
            </w:r>
          </w:p>
        </w:tc>
        <w:tc>
          <w:p/>
          <w:p>
            <w:pPr>
              <w:spacing w:after="0" w:before="0" w:lineRule="auto" w:line="276"/>
              <w:jc w:val="left"/>
            </w:pPr>
            <w:r>
              <w:rPr>
                <w:rFonts w:ascii="Times New Roman" w:hAnsi="Times New Roman" w:cs="Times New Roman" w:eastAsia="Times New Roman"/>
                <w:b w:val="false"/>
                <w:sz w:val="26"/>
              </w:rPr>
              <w:t>Pháp lệnh Bảo vệ công trình quốc phòng và khu quân sự</w:t>
            </w:r>
          </w:p>
        </w:tc>
        <w:tc>
          <w:p/>
          <w:p>
            <w:pPr>
              <w:spacing w:after="0" w:before="0" w:lineRule="auto" w:line="276"/>
              <w:jc w:val="left"/>
            </w:pPr>
            <w:r>
              <w:rPr>
                <w:rFonts w:ascii="Times New Roman" w:hAnsi="Times New Roman" w:cs="Times New Roman" w:eastAsia="Times New Roman"/>
                <w:b w:val="false"/>
                <w:sz w:val="26"/>
              </w:rPr>
              <w:t>19-05-1994</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công trình, dự án phải được chấp thuận về quản lý độ cao công trình:
-	Công trình có độ cao vượt lên khỏi quy hoặc các bề mặt giới hạn chướng ngại vật của sân bay và những công trình nằm trong vùng phụ cận sân bay có độ cao từ 45 mét trở lên so với mức cao sân bay.
-	Công trình có chiều cao vượt trên khu vực bề mặt giới hạn chướng ngại vật hàng không đã được công bố hoặc cao từ 45 mét trở lên so với mặt đất tự nhiên, nằm ngoài các khu vực, dự án quy hoạch đô thị, không gian đã được các ngành, địa phương thống nhất với Bộ Tổng Tham mưu Quân đội nhân dân Việt Nam về độ cao theo quy định sau:
+ Bộ trưởng Bộ Quốc phòng phê duyệt quy hoạch hệ thống sân bay chuyên dụng, bãi cất hạ cánh trên mặt đất, mặt nước, công trình nhân tạo và quy hoạch trận địa quản lý, bảo vùng trời. Bộ Tổng Tham mưu Quân đội nhân dân Việt Nam ban hành quy hoạch các bề mặt tĩnh không cơ bản của sân bay quân sự, sân bay dân dụng chung, khu vực bay đặc biệt để làm cơ sở cho Ủy ban nhân dân cấp tỉnh, các cơ quan, đơn vị khi quy hoạch không gian đô thị, khu nhà ở cao tầng, khu hạ kỹ thuật công nghiệp bảo đảm thực hiện đúng về quản lý độ cao công trình theo quy định của pháp luật;
+ Các Bộ, ngành và Ủy ban nhân dân tỉnh, thành phố trực thuộc Trung ương trước khi phê duyệt đồ án quy hoạch chung hoặc hoạc đồ án quy hoạch chi tiết để xây dựng các khu đô thị, khu nhà ở cao tầng, khu hạ tầng kỹ thuật công nghiệp, khu kinh tế, khu đặc khu, khu công nghiệp cao phải có văn bản lấy ý kiến của Bộ Tổng Tham mưu Quân đội nhân dân Việt Nam để thống nhất bề mặt quản lý độ cao công trình. Văn bản lấy ý kiến của Bộ Tổng Tham mưu Quân đội nhân dân Việt Nam thực hiện theo trình tự, thủ tục này.
+ Cơ quan có thẩm quyền cấp phéo xây dựng của địa phương phải tuân thủ đúng quy định về độ cao công trình đã được cơ quan nhà nước có thẩm quyền chấp thuận.
-	Hệ thống cột treo đèn chiếu sáng ở khu vực tĩnh không đầu các sân bay; tuyến đường dây tải điện cao thế, cáp treo, các trạm thu, phát sóng vô tuyến và các công trình điện gió; công trình nằm trong phạm vi ảnh hưởng và tiếp giáo với các khu vực bố trí trận địa quản lý, bảo vệ vùng trời và các đài, trạm vô tuyến điện hàng 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2026-05-18T11:48:15Z</dcterms:created>
  <dc:creator>Apache POI</dc:creator>
</cp:coreProperties>
</file>