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1025/QĐ-BNN-KTHT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phê duyệt quy hoạch tổng thể di dân, tái định cư các dự án thủy lợi, thủy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Không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có thông tin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chủ đầu tư gửi cơ quan có thẩm quyền thẩm định, phê duyệt quy hoạch tổng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20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ý kiến của các cấp chính quyền (xã, huyện, tỉnh) nới tái định cư, vùng ngập lòng hồ, mặt bằng công trình và một số văn bản pháp lý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hợp quy hoạch tổng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20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bản đồ minh họa vị trí, hiện trạng, quy hoạch tỉ lệ 1/25.000 đến 1/250.000 tùy theo quy mô vùng tái định cư và bản đồ quy hoạch khu, điểm tái định cư tỉ lệ 1/10.000</w:t>
            </w:r>
          </w:p>
        </w:tc>
        <w:tc>
          <w:p/>
        </w:tc>
        <w:tc>
          <w:p/>
          <w:p>
            <w:pPr>
              <w:spacing w:after="0" w:before="0" w:lineRule="auto" w:line="276"/>
              <w:jc w:val="left"/>
            </w:pPr>
            <w:r>
              <w:rPr>
                <w:rFonts w:ascii="Times New Roman" w:hAnsi="Times New Roman" w:cs="Times New Roman" w:eastAsia="Times New Roman"/>
                <w:b w:val="false"/>
                <w:sz w:val="26"/>
              </w:rPr>
              <w:t xml:space="preserve">Bản chính: </w:t>
              <w:t>20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phụ lục kèm theo báo cáo (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20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Luật 49/2014/QH13</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22/2015/TT-BNNPTNT</w:t>
            </w:r>
          </w:p>
        </w:tc>
        <w:tc>
          <w:p/>
          <w:p>
            <w:pPr>
              <w:spacing w:after="0" w:before="0" w:lineRule="auto" w:line="276"/>
              <w:jc w:val="left"/>
            </w:pPr>
            <w:r>
              <w:rPr>
                <w:rFonts w:ascii="Times New Roman" w:hAnsi="Times New Roman" w:cs="Times New Roman" w:eastAsia="Times New Roman"/>
                <w:b w:val="false"/>
                <w:sz w:val="26"/>
              </w:rPr>
              <w:t>Hướng dẫn thực hiện một số điều quy định tại Quyết định số 64/2014/QĐ-TTg ngày 18 tháng 11 năm 2014 của Thủ tướng Chính phủ ban hành chính sách đặc thù về di dân, tái định cư các dự án thủy lợi, thủy điện</w:t>
            </w:r>
          </w:p>
        </w:tc>
        <w:tc>
          <w:p/>
          <w:p>
            <w:pPr>
              <w:spacing w:after="0" w:before="0" w:lineRule="auto" w:line="276"/>
              <w:jc w:val="left"/>
            </w:pPr>
            <w:r>
              <w:rPr>
                <w:rFonts w:ascii="Times New Roman" w:hAnsi="Times New Roman" w:cs="Times New Roman" w:eastAsia="Times New Roman"/>
                <w:b w:val="false"/>
                <w:sz w:val="26"/>
              </w:rPr>
              <w:t>10-06-2015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64/2014/QĐ-TTg</w:t>
            </w:r>
          </w:p>
        </w:tc>
        <w:tc>
          <w:p/>
          <w:p>
            <w:pPr>
              <w:spacing w:after="0" w:before="0" w:lineRule="auto" w:line="276"/>
              <w:jc w:val="left"/>
            </w:pPr>
            <w:r>
              <w:rPr>
                <w:rFonts w:ascii="Times New Roman" w:hAnsi="Times New Roman" w:cs="Times New Roman" w:eastAsia="Times New Roman"/>
                <w:b w:val="false"/>
                <w:sz w:val="26"/>
              </w:rPr>
              <w:t>Chính sách đặc thù về di dân, tái định cư các dự án thủy lợi, thủy điện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2026-05-28T20:00:22Z</dcterms:created>
  <dc:creator>Apache POI</dc:creator>
</cp:coreProperties>
</file>