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tạm trú cho người nước ngoài tại 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tại một trong hai trụ sở của Cục Quản lý xuất nhập cảnh - Bộ Công an:
+ Số 44-46 đường Trần Phú, quận Ba Đình, thành phố Hà Nội.
+ Số 333-335-337 đường Nguyễn Trãi, Quận 1, Thành phố Hồ Chí Minh.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quốc gia hoặc Cổng dịch vụ công Bộ Công an (nếu có).
* Cán bộ tiếp nhận hồ sơ kiểm tra tính pháp lý và nội dung hồ sơ: 
+ Nếu hồ sơ đầy đủ, hợp lệ thì tiếp nhận hồ sơ, in và cấp giấy hẹn trả kết quả cho người nộp hồ sơ; yêu cầu nộp phí cho cán bộ thu phí. Cán bộ thu phí thu tiền, giao biên lai thu tiền cho người đề nghị cấp thẻ tạm trú hoặc thông báo trên Cổng dịch vụ công quốc gia hoặc Cổng dịch vụ công Bộ Công an đề nghị đề nghị cấp thẻ tạm trú thanh toán trực tuyến và nhận biên lai điện tử.
+ Nếu hồ sơ thiếu hoặc không hợp lệ thì cán bộ tiếp nhận hồ sơ hướng dẫn hoặc thông báo trên Cổng dịch vụ công quốc gia hoặc Cổng dịch vụ công Bộ Công an để người nộp hồ sơ hoàn chỉnh.
+ Trường hợp không đủ điều kiện thì không tiếp nhận hồ sơ, trả lời bằng văn bản hoặc thông báo trên Cổng dịch vụ công quốc gia hoặc Cổng dịch vụ công Bộ Công an và nêu rõ lý do.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thẻ tạm trú trực tiếp nhận kết quả tại Cục Quản lý xuất nhập cảnh, Bộ Công an. Khi đến nhận kết quả mang theo giấy hẹn trả kết quả, giấy tờ tùy thân, biên lai thu tiền để đối chiếu. Trường hợp đề nghị nhận kết quả qua dịch vụ bưu chính thì thực hiện theo hướng dẫn của cơ quan cung cấp dịch vụ bưu chính công ích.
+ Trường hợp chưa cấp thẻ tạm trú thì trả lời bằng văn bản hoặc thông báo trên Cổng dịch vụ công quốc gia hoặc Công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145 USD</w:t>
              <w:t xml:space="preserve"> (Thẻ tạm trú có thời hạn không quá 02 năm: 145 USD/thẻ.)</w:t>
            </w:r>
          </w:p>
          <w:p>
            <w:pPr>
              <w:spacing w:after="0" w:before="0" w:lineRule="auto" w:line="276"/>
              <w:jc w:val="left"/>
            </w:pPr>
            <w:r>
              <w:rPr>
                <w:rFonts w:ascii="Times New Roman" w:hAnsi="Times New Roman" w:cs="Times New Roman" w:eastAsia="Times New Roman"/>
                <w:b w:val="false"/>
                <w:sz w:val="26"/>
              </w:rPr>
              <w:t>Phí : 155 USD</w:t>
              <w:t xml:space="preserve"> (Thẻ tạm trú có thời hạn từ trên 02 năm đến 05 năm: 155 USD/thẻ.)</w:t>
            </w:r>
          </w:p>
          <w:p>
            <w:pPr>
              <w:spacing w:after="0" w:before="0" w:lineRule="auto" w:line="276"/>
              <w:jc w:val="left"/>
            </w:pPr>
            <w:r>
              <w:rPr>
                <w:rFonts w:ascii="Times New Roman" w:hAnsi="Times New Roman" w:cs="Times New Roman" w:eastAsia="Times New Roman"/>
                <w:b w:val="false"/>
                <w:sz w:val="26"/>
              </w:rPr>
              <w:t>Phí : 165 USD</w:t>
              <w:t xml:space="preserve"> (Thẻ tạm trú có thời hạn từ trên 05 năm đến 10 năm: 165 USD/thẻ.)</w:t>
            </w:r>
          </w:p>
        </w:tc>
        <w:tc>
          <w:p/>
          <w:p>
            <w:pPr>
              <w:spacing w:after="0" w:before="0" w:lineRule="auto" w:line="276"/>
              <w:jc w:val="left"/>
            </w:pPr>
            <w:r>
              <w:rPr>
                <w:rFonts w:ascii="Times New Roman" w:hAnsi="Times New Roman" w:cs="Times New Roman" w:eastAsia="Times New Roman"/>
                <w:b w:val="false"/>
                <w:sz w:val="26"/>
              </w:rPr>
              <w:t>Trực tiếp nộp hồ sơ và nhận kết quả tại trụ sở Cục Quản lý xuất nhập cảnh.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145 USD</w:t>
              <w:t xml:space="preserve"> (Thẻ tạm trú có thời hạn không quá 02 năm: 145 USD/thẻ.)</w:t>
            </w:r>
          </w:p>
          <w:p>
            <w:pPr>
              <w:spacing w:after="0" w:before="0" w:lineRule="auto" w:line="276"/>
              <w:jc w:val="left"/>
            </w:pPr>
            <w:r>
              <w:rPr>
                <w:rFonts w:ascii="Times New Roman" w:hAnsi="Times New Roman" w:cs="Times New Roman" w:eastAsia="Times New Roman"/>
                <w:b w:val="false"/>
                <w:sz w:val="26"/>
              </w:rPr>
              <w:t>Phí : 155 USD</w:t>
              <w:t xml:space="preserve"> (Thẻ tạm trú có thời hạn từ trên 02 năm đến 05 năm: 155 USD/thẻ.)</w:t>
            </w:r>
          </w:p>
          <w:p>
            <w:pPr>
              <w:spacing w:after="0" w:before="0" w:lineRule="auto" w:line="276"/>
              <w:jc w:val="left"/>
            </w:pPr>
            <w:r>
              <w:rPr>
                <w:rFonts w:ascii="Times New Roman" w:hAnsi="Times New Roman" w:cs="Times New Roman" w:eastAsia="Times New Roman"/>
                <w:b w:val="false"/>
                <w:sz w:val="26"/>
              </w:rPr>
              <w:t>Phí : 165 USD</w:t>
              <w:t xml:space="preserve"> (Thẻ tạm trú có thời hạn từ trên 05 năm đến 10 năm: 165 USD/thẻ.)</w:t>
            </w:r>
          </w:p>
        </w:tc>
        <w:tc>
          <w:p/>
          <w:p>
            <w:pPr>
              <w:spacing w:after="0" w:before="0" w:lineRule="auto" w:line="276"/>
              <w:jc w:val="left"/>
            </w:pPr>
            <w:r>
              <w:rPr>
                <w:rFonts w:ascii="Times New Roman" w:hAnsi="Times New Roman" w:cs="Times New Roman" w:eastAsia="Times New Roman"/>
                <w:b w:val="false"/>
                <w:sz w:val="26"/>
              </w:rPr>
              <w:t>Trực tuyến: nộp hồ sơ trực tuyến qua Cổng dịch vụ công quốc gia hoặc Cổng dịch vụ công Bộ Công an.
Không quá 05 ngày làm việc kể từ khi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145 USD</w:t>
              <w:t xml:space="preserve"> (Thẻ tạm trú có thời hạn không quá 02 năm: 145 USD/thẻ.)</w:t>
            </w:r>
          </w:p>
          <w:p>
            <w:pPr>
              <w:spacing w:after="0" w:before="0" w:lineRule="auto" w:line="276"/>
              <w:jc w:val="left"/>
            </w:pPr>
            <w:r>
              <w:rPr>
                <w:rFonts w:ascii="Times New Roman" w:hAnsi="Times New Roman" w:cs="Times New Roman" w:eastAsia="Times New Roman"/>
                <w:b w:val="false"/>
                <w:sz w:val="26"/>
              </w:rPr>
              <w:t>Phí : 155 USD</w:t>
              <w:t xml:space="preserve"> (Thẻ tạm trú có thời hạn từ trên 02 năm đến 05 năm: 155 USD/thẻ.)</w:t>
            </w:r>
          </w:p>
          <w:p>
            <w:pPr>
              <w:spacing w:after="0" w:before="0" w:lineRule="auto" w:line="276"/>
              <w:jc w:val="left"/>
            </w:pPr>
            <w:r>
              <w:rPr>
                <w:rFonts w:ascii="Times New Roman" w:hAnsi="Times New Roman" w:cs="Times New Roman" w:eastAsia="Times New Roman"/>
                <w:b w:val="false"/>
                <w:sz w:val="26"/>
              </w:rPr>
              <w:t>Phí : 165 USD</w:t>
              <w:t xml:space="preserve"> (Thẻ tạm trú có thời hạn từ trên 05 năm đến 10 năm: 165 USD/thẻ.)</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05 ngày làm việc kể từ khi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thẻ tạm trú cho người nước ngoài (NA8)</w:t>
            </w:r>
          </w:p>
        </w:tc>
        <w:tc>
          <w:p/>
          <w:p>
            <w:pPr>
              <w:spacing w:after="0" w:before="0" w:lineRule="auto" w:line="276"/>
              <w:jc w:val="left"/>
            </w:pPr>
            <w:r>
              <w:rPr>
                <w:rFonts w:ascii="Times New Roman" w:hAnsi="Times New Roman" w:cs="Times New Roman" w:eastAsia="Times New Roman"/>
                <w:b w:val="false"/>
                <w:sz w:val="26"/>
              </w:rPr>
              <w:t>9-Mẫu NA8.doc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cấp thẻ tạm trú: mẫu NA6 (ban hành kèm theo Thông tư số 04/2015/TT-BCA ngày 05/01/2015 của Bộ Công an) đối với cơ quan, tổ chức; mẫu NA7 (ban hành kèm theo Thông tư số 22/2023/TT-BCA ngày 30/6/2023 của Bộ Công an) đối với cá nhân;</w:t>
            </w:r>
          </w:p>
        </w:tc>
        <w:tc>
          <w:p/>
          <w:p>
            <w:pPr>
              <w:spacing w:after="0" w:before="0" w:lineRule="auto" w:line="276"/>
              <w:jc w:val="left"/>
            </w:pPr>
            <w:r>
              <w:rPr>
                <w:rFonts w:ascii="Times New Roman" w:hAnsi="Times New Roman" w:cs="Times New Roman" w:eastAsia="Times New Roman"/>
                <w:b w:val="false"/>
                <w:sz w:val="26"/>
              </w:rPr>
              <w:t>NA7.doc</w:t>
            </w:r>
          </w:p>
          <w:p>
            <w:pPr>
              <w:spacing w:after="0" w:before="0" w:lineRule="auto" w:line="276"/>
              <w:jc w:val="left"/>
            </w:pPr>
            <w:r>
              <w:rPr>
                <w:rFonts w:ascii="Times New Roman" w:hAnsi="Times New Roman" w:cs="Times New Roman" w:eastAsia="Times New Roman"/>
                <w:b w:val="false"/>
                <w:sz w:val="26"/>
              </w:rPr>
              <w:t>7-Mẫu NA6.doc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thuộc diện xem xét cấp thẻ tạm trú là một trong các loại giấy tờ như: giấy phép lao động, giấy xác nhận không thuộc diện cấp giấy phép lao động hoặc các giấy tờ khác có giá trị chứng minh đủ điều kiện cấp thẻ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cỡ 2x3cm (01 ảnh dán vào tờ khai, 01 ảnh rời)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hộ chiếu phải gửi qua dịch vụ bưu chính công ích về cơ quan tiếp nhận; thành phần hồ sơ khác phải được chứng thực điện tử theo quy định, trường hợp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tạm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17-06-2014</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04/2015/TT-BCA</w:t>
            </w:r>
          </w:p>
        </w:tc>
        <w:tc>
          <w:p/>
          <w:p>
            <w:pPr>
              <w:spacing w:after="0" w:before="0" w:lineRule="auto" w:line="276"/>
              <w:jc w:val="left"/>
            </w:pPr>
            <w:r>
              <w:rPr>
                <w:rFonts w:ascii="Times New Roman" w:hAnsi="Times New Roman" w:cs="Times New Roman" w:eastAsia="Times New Roman"/>
                <w:b w:val="false"/>
                <w:sz w:val="26"/>
              </w:rPr>
              <w:t>Thông tư 04/2015/TT-BCA</w:t>
            </w:r>
          </w:p>
        </w:tc>
        <w:tc>
          <w:p/>
          <w:p>
            <w:pPr>
              <w:spacing w:after="0" w:before="0" w:lineRule="auto" w:line="276"/>
              <w:jc w:val="left"/>
            </w:pPr>
            <w:r>
              <w:rPr>
                <w:rFonts w:ascii="Times New Roman" w:hAnsi="Times New Roman" w:cs="Times New Roman" w:eastAsia="Times New Roman"/>
                <w:b w:val="false"/>
                <w:sz w:val="26"/>
              </w:rPr>
              <w:t>06-01-2015</w:t>
            </w:r>
          </w:p>
        </w:tc>
        <w:tc>
          <w:p/>
        </w:tc>
      </w:tr>
      <w:tr>
        <w:tc>
          <w:p/>
          <w:p>
            <w:pPr>
              <w:spacing w:after="0" w:before="0" w:lineRule="auto" w:line="276"/>
              <w:jc w:val="left"/>
            </w:pPr>
            <w:r>
              <w:rPr>
                <w:rFonts w:ascii="Times New Roman" w:hAnsi="Times New Roman" w:cs="Times New Roman" w:eastAsia="Times New Roman"/>
                <w:b w:val="false"/>
                <w:sz w:val="26"/>
              </w:rPr>
              <w:t>31/2015/TT-BCA</w:t>
            </w:r>
          </w:p>
        </w:tc>
        <w:tc>
          <w:p/>
          <w:p>
            <w:pPr>
              <w:spacing w:after="0" w:before="0" w:lineRule="auto" w:line="276"/>
              <w:jc w:val="left"/>
            </w:pPr>
            <w:r>
              <w:rPr>
                <w:rFonts w:ascii="Times New Roman" w:hAnsi="Times New Roman" w:cs="Times New Roman" w:eastAsia="Times New Roman"/>
                <w:b w:val="false"/>
                <w:sz w:val="26"/>
              </w:rPr>
              <w:t>Thông tư 31/2015/TT-BCA</w:t>
            </w:r>
          </w:p>
        </w:tc>
        <w:tc>
          <w:p/>
          <w:p>
            <w:pPr>
              <w:spacing w:after="0" w:before="0" w:lineRule="auto" w:line="276"/>
              <w:jc w:val="left"/>
            </w:pPr>
            <w:r>
              <w:rPr>
                <w:rFonts w:ascii="Times New Roman" w:hAnsi="Times New Roman" w:cs="Times New Roman" w:eastAsia="Times New Roman"/>
                <w:b w:val="false"/>
                <w:sz w:val="26"/>
              </w:rPr>
              <w:t>07-07-2015</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22/2023/TT-BCA</w:t>
            </w:r>
          </w:p>
        </w:tc>
        <w:tc>
          <w:p/>
          <w:p>
            <w:pPr>
              <w:spacing w:after="0" w:before="0" w:lineRule="auto" w:line="276"/>
              <w:jc w:val="left"/>
            </w:pPr>
            <w:r>
              <w:rPr>
                <w:rFonts w:ascii="Times New Roman" w:hAnsi="Times New Roman" w:cs="Times New Roman" w:eastAsia="Times New Roman"/>
                <w:b w:val="false"/>
                <w:sz w:val="26"/>
              </w:rPr>
              <w:t>Thông tư số 22/2023/TT-BCA</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tổ chức khi đề nghị cấp thẻ tạm trú cho người nước ngoài cần phải nộp hồ sơ theo quy định tại khoản 2 Điều 16 Luật nhập cảnh, xuất cảnh, quá cảnh, cư trú của người nước ngoài tại Việt Nam tại Cục Quản lý xuất nhập cảnh, Bộ Công an gồm:
+ Bản sao có chứng thực giấy phép hoặc quyết định của cơ quan có thẩm quyền về việc thành lập tổ chức.
+ Văn bản giới thiệu con dấu, chữ ký của người có thẩm quyền của tổ chức.
Việc nộp hồ sơ trên chỉ thực hiện một lần. Khi có thay đổi nội dung trong hồ sơ thì cơ quan, tổ chức phải có văn bản thông báo cho Cục Quản lý Xuất nhập cảnh để bổ sung hồ sơ.
* Người nước ngoài nhập cảnh có mục đích hoạt động phù hợp với quy định của pháp luật Việt Nam, và không thuộc diện chưa cho nhập cảnh, tạm hoãn xuất cảnh theo quy định tại Điều 21, Điều 28 và người nước ngoài thuộc các trường hợp được cấp thẻ tạm trú theo quy định tại Điều 36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2026-05-19T13:33:21Z</dcterms:created>
  <dc:creator>Apache POI</dc:creator>
</cp:coreProperties>
</file>