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4756/QĐ-BNN-BVTV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lần đầu phân bón lưu hành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 và Bảo vệ thực vật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nộp 01 bộ hồ sơ đến Cục Bảo vệ thực vật.</w:t>
      </w:r>
    </w:p>
    <w:p>
      <w:pPr>
        <w:spacing w:after="0" w:before="0" w:lineRule="auto" w:line="276"/>
        <w:jc w:val="both"/>
      </w:pPr>
      <w:r>
        <w:rPr>
          <w:rFonts w:ascii="Times New Roman" w:hAnsi="Times New Roman" w:cs="Times New Roman" w:eastAsia="Times New Roman"/>
          <w:b w:val="false"/>
          <w:sz w:val="26"/>
        </w:rPr>
        <w:t>- Bước 2: Tiếp nhận, kiểm tra tính hợp lệ của hồ sơ: Trong thời hạn 03 ngày làm việc.
Nếu hồ sơ không hợp lệ phải thông báo cho tổ chức, cá nhân để bổ sung hồ sơ.</w:t>
      </w:r>
    </w:p>
    <w:p>
      <w:pPr>
        <w:spacing w:after="0" w:before="0" w:lineRule="auto" w:line="276"/>
        <w:jc w:val="both"/>
      </w:pPr>
      <w:r>
        <w:rPr>
          <w:rFonts w:ascii="Times New Roman" w:hAnsi="Times New Roman" w:cs="Times New Roman" w:eastAsia="Times New Roman"/>
          <w:b w:val="false"/>
          <w:sz w:val="26"/>
        </w:rPr>
        <w:t>- Bước 3: Thẩm định hồ sơ và công nhận phân bón lưu hành tại Việt Nam: Trong thời hạn 03 tháng kể từ ngày nhận đủ hồ sơ hợp lệ, Cục Bảo vệ thực vật tổ chức thẩm định để đánh giá hồ sơ công nhận.
Ban hành Quyết định công nhận phân bón lưu hành tại Việt Nam nếu hồ sơ đáp ứng các quy định về phân bón; trường hợp không ban hành Quyết định công nhận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tháng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 Trực tiếp
- Bưu điện
- Cổng thông tin điện tử (Bộ Nông nghiệp và PTNT, Cục Bảo vệ thực vật)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tháng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 Trực tiếp
- Bưu điện
- Cổng thông tin điện tử (Bộ Nông nghiệp và PTNT, Cục Bảo vệ thực vật)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tháng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 Trực tiếp
- Bưu điện
- Cổng thông tin điện tử (Bộ Nông nghiệp và PTNT, Cục Bảo vệ thực vật)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công nhận phân bón lưu hành tại Việt Nam theo Mẫu số 01 tại Phụ lục I ban hành kèm theo Nghị định số 108/2017/NĐ-CP</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thông tin chung về phân bón do nhà sản xuất cung cấp bao gồm: loại phân bón, chỉ tiêu chất lượng chính, hàm lượng yếu tố hạn chế trong phân bón, công dụng, hướng dẫn sử dụng, thông tin chung về tình hình xuất khẩu, nhập khẩu phân bón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báo cáo kết quả khảo nghiệm phân bón theo Mẫu số 02 tại Phụ lục I ban hành kèm theo Nghị định số 108/2017/NĐ-CP (trừ các loại phân bón quy định tại khoản 2 Điều 13 và phân bón có tên trong Danh mục quy định tại khoản 11 Điều 47 Nghị định số 108/2017/NĐ-CP) hoặc kết quả của các công trình, đề tài nghiên cứu cấp Nhà nước, cấp bộ, cấp tỉnh và có quyết định công nhận là tiến bộ kỹ thuật (đối với phân bón quy định tại điểm c khoản 2 Điều 13 Nghị định số 108/2017/NĐ-CP)</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nhãn phân bón theo đúng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Trồng trọt và Bảo vệ thực vật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Bảo vệ thực vật, Số 149 Hồ Đắc Di, Quang Trung, Đống Đa,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phân bón lưu hành tại Việt NamThời hạn của quyết định công nhận là 5 năm8. Phí: Chưa có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43/2017/NĐ-CP</w:t>
            </w:r>
          </w:p>
        </w:tc>
        <w:tc>
          <w:p/>
          <w:p>
            <w:pPr>
              <w:spacing w:after="0" w:before="0" w:lineRule="auto" w:line="276"/>
              <w:jc w:val="left"/>
            </w:pPr>
            <w:r>
              <w:rPr>
                <w:rFonts w:ascii="Times New Roman" w:hAnsi="Times New Roman" w:cs="Times New Roman" w:eastAsia="Times New Roman"/>
                <w:b w:val="false"/>
                <w:sz w:val="26"/>
              </w:rPr>
              <w:t>Nghị định 43/2017/NĐ-CP</w:t>
            </w:r>
          </w:p>
        </w:tc>
        <w:tc>
          <w:p/>
          <w:p>
            <w:pPr>
              <w:spacing w:after="0" w:before="0" w:lineRule="auto" w:line="276"/>
              <w:jc w:val="left"/>
            </w:pPr>
            <w:r>
              <w:rPr>
                <w:rFonts w:ascii="Times New Roman" w:hAnsi="Times New Roman" w:cs="Times New Roman" w:eastAsia="Times New Roman"/>
                <w:b w:val="false"/>
                <w:sz w:val="26"/>
              </w:rPr>
              <w:t>14-04-2017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108/2017/NĐ-CP</w:t>
            </w:r>
          </w:p>
        </w:tc>
        <w:tc>
          <w:p/>
          <w:p>
            <w:pPr>
              <w:spacing w:after="0" w:before="0" w:lineRule="auto" w:line="276"/>
              <w:jc w:val="left"/>
            </w:pPr>
            <w:r>
              <w:rPr>
                <w:rFonts w:ascii="Times New Roman" w:hAnsi="Times New Roman" w:cs="Times New Roman" w:eastAsia="Times New Roman"/>
                <w:b w:val="false"/>
                <w:sz w:val="26"/>
              </w:rPr>
              <w:t>Nghị định 108/2017/NĐ-CP</w:t>
            </w:r>
          </w:p>
        </w:tc>
        <w:tc>
          <w:p/>
          <w:p>
            <w:pPr>
              <w:spacing w:after="0" w:before="0" w:lineRule="auto" w:line="276"/>
              <w:jc w:val="left"/>
            </w:pPr>
            <w:r>
              <w:rPr>
                <w:rFonts w:ascii="Times New Roman" w:hAnsi="Times New Roman" w:cs="Times New Roman" w:eastAsia="Times New Roman"/>
                <w:b w:val="false"/>
                <w:sz w:val="26"/>
              </w:rPr>
              <w:t>20-09-2017</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2026-05-19T11:45:14Z</dcterms:created>
  <dc:creator>Apache POI</dc:creator>
</cp:coreProperties>
</file>