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1.003369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6184/QĐ-BQP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chấp thuận cho phóng viên nước ngoài thường trú tại Việt Nam hoạt động thông tin, báo chí tại các đơn vị quân đội, tiếp xúc, phỏng vấn lãnh đạo Bộ Quốc phòng, Bộ Tổng Tham mưu, Tổng cục Chính trị</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Báo chí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Phóng viên nước ngoài thường trú có yêu cầu hoạt động thông tin, báo chí tại các đơn vị quân đội, tiếp xúc, phỏng vấn lãnh đạo Bộ Quốc phòng, Bộ Tổng tham mưu, Tổng cục Chính trị, Văn phòng thường trú gửi hồ sơ tới Tổng cục Chính trị (qua Cục Tuyên huấn), đồng thời thông báo cho Bộ Ngoại giao biết để phối hợp.</w:t>
      </w:r>
    </w:p>
    <w:p>
      <w:pPr>
        <w:spacing w:after="0" w:before="0" w:lineRule="auto" w:line="276"/>
        <w:jc w:val="both"/>
      </w:pPr>
      <w:r>
        <w:rPr>
          <w:rFonts w:ascii="Times New Roman" w:hAnsi="Times New Roman" w:cs="Times New Roman" w:eastAsia="Times New Roman"/>
          <w:b w:val="false"/>
          <w:sz w:val="26"/>
        </w:rPr>
        <w:t>Bước 2: Trong thời hạn 05 ngày làm việc, kể từ khi nhận được đầy đủ hồ sơ đề nghị, Tổng cục Chính trị có trách nhiệm trả lời Văn phòng thường trú bằng văn bản.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khi nhận đủ hồ sơ đề nghị của Văn phòng thường trú</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Thành phần hồ sơ 1</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hoạt động thông tin, báo chí (trường hợp phỏng vấn phải gửi trước câu hỏi, làm phim phải gửi kèm kịch bản)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Thành phần hồ sơ 2</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chụp Thẻ phóng viên nước ngoài của phóng viên thường trú</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Người nước ngoài,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Tổng cục Chính trị Quân đội nhân dân Việt Nam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Tổng cục Chính trị Quân đội nhân dân Việt Nam</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chấp thuận của Tổng cục Chính trị Quân đội nhân dân Việt Nam.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51/2002/NĐ-CP</w:t>
            </w:r>
          </w:p>
        </w:tc>
        <w:tc>
          <w:p/>
          <w:p>
            <w:pPr>
              <w:spacing w:after="0" w:before="0" w:lineRule="auto" w:line="276"/>
              <w:jc w:val="left"/>
            </w:pPr>
            <w:r>
              <w:rPr>
                <w:rFonts w:ascii="Times New Roman" w:hAnsi="Times New Roman" w:cs="Times New Roman" w:eastAsia="Times New Roman"/>
                <w:b w:val="false"/>
                <w:sz w:val="26"/>
              </w:rPr>
              <w:t>Quy định chi tiết thi hành Luật Báo chí, Luật sửa đổi, bổ sung một số điều của Luật Báo chí</w:t>
            </w:r>
          </w:p>
        </w:tc>
        <w:tc>
          <w:p/>
          <w:p>
            <w:pPr>
              <w:spacing w:after="0" w:before="0" w:lineRule="auto" w:line="276"/>
              <w:jc w:val="left"/>
            </w:pPr>
            <w:r>
              <w:rPr>
                <w:rFonts w:ascii="Times New Roman" w:hAnsi="Times New Roman" w:cs="Times New Roman" w:eastAsia="Times New Roman"/>
                <w:b w:val="false"/>
                <w:sz w:val="26"/>
              </w:rPr>
              <w:t>26-04-2002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88/2012/NĐ-CP</w:t>
            </w:r>
          </w:p>
        </w:tc>
        <w:tc>
          <w:p/>
          <w:p>
            <w:pPr>
              <w:spacing w:after="0" w:before="0" w:lineRule="auto" w:line="276"/>
              <w:jc w:val="left"/>
            </w:pPr>
            <w:r>
              <w:rPr>
                <w:rFonts w:ascii="Times New Roman" w:hAnsi="Times New Roman" w:cs="Times New Roman" w:eastAsia="Times New Roman"/>
                <w:b w:val="false"/>
                <w:sz w:val="26"/>
              </w:rPr>
              <w:t>Quy định về hoạt động thông tin, báo chí của báo chí nước ngoài, cơ quan đại diện nước ngoài, tổ chức nước ngoài tại Việt Nam</w:t>
            </w:r>
          </w:p>
        </w:tc>
        <w:tc>
          <w:p/>
          <w:p>
            <w:pPr>
              <w:spacing w:after="0" w:before="0" w:lineRule="auto" w:line="276"/>
              <w:jc w:val="left"/>
            </w:pPr>
            <w:r>
              <w:rPr>
                <w:rFonts w:ascii="Times New Roman" w:hAnsi="Times New Roman" w:cs="Times New Roman" w:eastAsia="Times New Roman"/>
                <w:b w:val="false"/>
                <w:sz w:val="26"/>
              </w:rPr>
              <w:t>23-10-2012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72/2013/NĐ-CP</w:t>
            </w:r>
          </w:p>
        </w:tc>
        <w:tc>
          <w:p/>
          <w:p>
            <w:pPr>
              <w:spacing w:after="0" w:before="0" w:lineRule="auto" w:line="276"/>
              <w:jc w:val="left"/>
            </w:pPr>
            <w:r>
              <w:rPr>
                <w:rFonts w:ascii="Times New Roman" w:hAnsi="Times New Roman" w:cs="Times New Roman" w:eastAsia="Times New Roman"/>
                <w:b w:val="false"/>
                <w:sz w:val="26"/>
              </w:rPr>
              <w:t>Quản lý, cung cấp, sử dụng dịch vụ internet và thông tin trên mạng</w:t>
            </w:r>
          </w:p>
        </w:tc>
        <w:tc>
          <w:p/>
          <w:p>
            <w:pPr>
              <w:spacing w:after="0" w:before="0" w:lineRule="auto" w:line="276"/>
              <w:jc w:val="left"/>
            </w:pPr>
            <w:r>
              <w:rPr>
                <w:rFonts w:ascii="Times New Roman" w:hAnsi="Times New Roman" w:cs="Times New Roman" w:eastAsia="Times New Roman"/>
                <w:b w:val="false"/>
                <w:sz w:val="26"/>
              </w:rPr>
              <w:t>15-07-2013</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Khi hoạt động thông tin, báo chí trong các đơn vị quân đội, phóng viên phải mang theo Văn bản chấp thuận của Tổng cục Chính trị, Thẻ phóng viên nước ngoài do Bộ Ngoại giao cấp, hộ chiếu; hoạt động theo đúng mục đích, chương trình ghi trong Giấy phép và sự hướng dẫn của cán bộ đơn vị.</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2026-04-29T10:47:04Z</dcterms:created>
  <dc:creator>Apache POI</dc:creator>
</cp:coreProperties>
</file>