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cho phép hoạt động thông tin, báo chí tại các đơn vị Quân đội, tiếp xúc, phỏng vấn lãnh đạo Bộ Quốc phòng, Bộ Tổng Tham mưu, Tổng cục Chính trị của phóng viên nước ngoài không thường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Phóng viên nước ngoài không thường trú khi có yêu cầu hoạt động thông tin, báo chí tại các đơn vị quân đội, tiếp xúc, phỏng vấn lãnh đạo Bộ Quốc phòng, Bộ Tổng tham mưu, Tổng cục Chính trị, cơ quan hướng dẫn phóng viên nước ngoài (Trung tâm Hướng dẫn Báo chí nước ngoài thuộc Bộ Ngoại giao hoặc một cơ quan được Bộ Ngoại giao chấp thuận) có công văn gửi Tổng cục Chính trị (qua Cục Tuyên huấn).</w:t>
      </w:r>
    </w:p>
    <w:p>
      <w:pPr>
        <w:spacing w:after="0" w:before="0" w:lineRule="auto" w:line="276"/>
        <w:jc w:val="both"/>
      </w:pPr>
      <w:r>
        <w:rPr>
          <w:rFonts w:ascii="Times New Roman" w:hAnsi="Times New Roman" w:cs="Times New Roman" w:eastAsia="Times New Roman"/>
          <w:b w:val="false"/>
          <w:sz w:val="26"/>
        </w:rPr>
        <w:t>Bước 2: Trong thời hạn 5 ngày làm việc, kể từ khi nhận được công văn, Tổng cục Chính trị có trách nhiệm trả lời cơ quan hướng dẫn phóng viên nước ngoài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Công văn.
Cách thức thực hiện: Cơ quan hướng dẫn phóng viên nước ngoài (Trung tâm Hướng dẫn Báo chí nước ngoài thuộc Bộ Ngoại giao hoặc một cơ quan được Bộ Ngoại giao chấp thuận) có Công văn gửi Tổng cục Chính trị (qua Cục Tuyên huấn).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Công văn.
Cách thức thực hiện: Cơ quan hướng dẫn phóng viên nước ngoài (Trung tâm Hướng dẫn Báo chí nước ngoài thuộc Bộ Ngoại giao hoặc một cơ quan được Bộ Ngoại giao chấp thuận) có Công văn gửi Tổng cục Chính trị (qua Cục Tuyên huấn).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Công văn.
Cách thức thực hiện: Cơ quan hướng dẫn phóng viên nước ngoài (Trung tâm Hướng dẫn Báo chí nước ngoài thuộc Bộ Ngoại giao hoặc một cơ quan được Bộ Ngoại giao chấp thuận) có Công văn gửi Tổng cục Chính trị (qua Cục Tuyên huấn).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Cơ quan hướng dẫn phóng viên nước ngoài (Trung tâm Hướng dẫn Báo chí nước ngoài thuộc Bộ Ngoại giao hoặc một cơ quan được Bộ Ngoại giao chấp thuận) có công văn gửi Tổng cục Chính trị (qua Cục Tuyên huấn). Văn bản ghi rõ thành phần đoàn (họ tên phóng viên, cơ quan báo chí, quốc tịch, số hộ chiếu, năm sinh), mục đích, nội dung hoạt động, thời gian, địa điểm làm việc, câu hỏi dự kiến phỏng vấn, kịch bản phim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Tuyên huấn/Tổng cục Chính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Tuyên huấn/ 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của Tổng cục Chính trị Quân đội nhân dân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29/LCT/HĐNN8 </w:t>
            </w:r>
          </w:p>
        </w:tc>
        <w:tc>
          <w:p/>
          <w:p>
            <w:pPr>
              <w:spacing w:after="0" w:before="0" w:lineRule="auto" w:line="276"/>
              <w:jc w:val="left"/>
            </w:pPr>
            <w:r>
              <w:rPr>
                <w:rFonts w:ascii="Times New Roman" w:hAnsi="Times New Roman" w:cs="Times New Roman" w:eastAsia="Times New Roman"/>
                <w:b w:val="false"/>
                <w:sz w:val="26"/>
              </w:rPr>
              <w:t>Luật Báo chí số 29/LCT/HĐNN8 của Quốc Hội thông qua ngày 28 tháng 12 năm 1989</w:t>
            </w:r>
          </w:p>
        </w:tc>
        <w:tc>
          <w:p/>
          <w:p>
            <w:pPr>
              <w:spacing w:after="0" w:before="0" w:lineRule="auto" w:line="276"/>
              <w:jc w:val="left"/>
            </w:pPr>
            <w:r>
              <w:rPr>
                <w:rFonts w:ascii="Times New Roman" w:hAnsi="Times New Roman" w:cs="Times New Roman" w:eastAsia="Times New Roman"/>
                <w:b w:val="false"/>
                <w:sz w:val="26"/>
              </w:rPr>
              <w:t>02-01-1990</w:t>
            </w:r>
          </w:p>
        </w:tc>
        <w:tc>
          <w:p/>
        </w:tc>
      </w:tr>
      <w:tr>
        <w:tc>
          <w:p/>
          <w:p>
            <w:pPr>
              <w:spacing w:after="0" w:before="0" w:lineRule="auto" w:line="276"/>
              <w:jc w:val="left"/>
            </w:pPr>
            <w:r>
              <w:rPr>
                <w:rFonts w:ascii="Times New Roman" w:hAnsi="Times New Roman" w:cs="Times New Roman" w:eastAsia="Times New Roman"/>
                <w:b w:val="false"/>
                <w:sz w:val="26"/>
              </w:rPr>
              <w:t>12/1998/QH10</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Báo chí</w:t>
            </w:r>
          </w:p>
        </w:tc>
        <w:tc>
          <w:p/>
          <w:p>
            <w:pPr>
              <w:spacing w:after="0" w:before="0" w:lineRule="auto" w:line="276"/>
              <w:jc w:val="left"/>
            </w:pPr>
            <w:r>
              <w:rPr>
                <w:rFonts w:ascii="Times New Roman" w:hAnsi="Times New Roman" w:cs="Times New Roman" w:eastAsia="Times New Roman"/>
                <w:b w:val="false"/>
                <w:sz w:val="26"/>
              </w:rPr>
              <w:t>12-06-1999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51/2002/NĐ-CP</w:t>
            </w:r>
          </w:p>
        </w:tc>
        <w:tc>
          <w:p/>
          <w:p>
            <w:pPr>
              <w:spacing w:after="0" w:before="0" w:lineRule="auto" w:line="276"/>
              <w:jc w:val="left"/>
            </w:pPr>
            <w:r>
              <w:rPr>
                <w:rFonts w:ascii="Times New Roman" w:hAnsi="Times New Roman" w:cs="Times New Roman" w:eastAsia="Times New Roman"/>
                <w:b w:val="false"/>
                <w:sz w:val="26"/>
              </w:rPr>
              <w:t>Quy định chi tiết thi hành Luật Báo chí, Luật sửa đổi, bổ sung một số điều của Luật Báo chí</w:t>
            </w:r>
          </w:p>
        </w:tc>
        <w:tc>
          <w:p/>
          <w:p>
            <w:pPr>
              <w:spacing w:after="0" w:before="0" w:lineRule="auto" w:line="276"/>
              <w:jc w:val="left"/>
            </w:pPr>
            <w:r>
              <w:rPr>
                <w:rFonts w:ascii="Times New Roman" w:hAnsi="Times New Roman" w:cs="Times New Roman" w:eastAsia="Times New Roman"/>
                <w:b w:val="false"/>
                <w:sz w:val="26"/>
              </w:rPr>
              <w:t>26-04-2002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88/2012/NĐ-CP</w:t>
            </w:r>
          </w:p>
        </w:tc>
        <w:tc>
          <w:p/>
          <w:p>
            <w:pPr>
              <w:spacing w:after="0" w:before="0" w:lineRule="auto" w:line="276"/>
              <w:jc w:val="left"/>
            </w:pPr>
            <w:r>
              <w:rPr>
                <w:rFonts w:ascii="Times New Roman" w:hAnsi="Times New Roman" w:cs="Times New Roman" w:eastAsia="Times New Roman"/>
                <w:b w:val="false"/>
                <w:sz w:val="26"/>
              </w:rPr>
              <w:t>Quy định về hoạt động thông tin, báo chí của báo chí nước ngoài, cơ quan đại diện nước ngoài, tổ chức nước ngoài tại Việt Nam</w:t>
            </w:r>
          </w:p>
        </w:tc>
        <w:tc>
          <w:p/>
          <w:p>
            <w:pPr>
              <w:spacing w:after="0" w:before="0" w:lineRule="auto" w:line="276"/>
              <w:jc w:val="left"/>
            </w:pPr>
            <w:r>
              <w:rPr>
                <w:rFonts w:ascii="Times New Roman" w:hAnsi="Times New Roman" w:cs="Times New Roman" w:eastAsia="Times New Roman"/>
                <w:b w:val="false"/>
                <w:sz w:val="26"/>
              </w:rPr>
              <w:t>23-10-2012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Quản lý, cung cấp, sử dụng dịch vụ internet và thông tin trên mạng</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hoạt động thông tin, báo chí trong các đơn vị quân đội, phóng viên phải mang theo Giấy phép hoạt động do Bộ Ngoại giao cấp, hộ chiếu; hoạt động theo đúng mục đích, chương trình ghi trong Giấy phép và sự hướng dẫn của cán bộ đơn vị.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2026-05-21T17:06:26Z</dcterms:created>
  <dc:creator>Apache POI</dc:creator>
</cp:coreProperties>
</file>