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settings+xml" PartName="/word/settings.xml"/>
</Types>
</file>

<file path=_rels/.rels><?xml version="1.0" encoding="UTF-8" standalone="no"?>
<Relationships xmlns="http://schemas.openxmlformats.org/package/2006/relationships">
<Relationship Id="rId1" Target="word/document.xml" Type="http://schemas.openxmlformats.org/officeDocument/2006/relationships/officeDocument"/>
<Relationship Id="rId2" Target="docProps/app.xml" Type="http://schemas.openxmlformats.org/officeDocument/2006/relationships/extended-properties"/>
<Relationship Id="rId3" Target="docProps/core.xml" Type="http://schemas.openxmlformats.org/package/2006/relationships/metadata/core-properties"/>
</Relationships>

</file>

<file path=word/document.xml><?xml version="1.0" encoding="utf-8"?>
<w:document xmlns:w="http://schemas.openxmlformats.org/wordprocessingml/2006/main">
  <w:body>
    <w:p>
      <w:pPr>
        <w:spacing w:after="300" w:before="0" w:lineRule="auto" w:line="276"/>
        <w:jc w:val="center"/>
      </w:pPr>
      <w:r>
        <w:rPr>
          <w:rFonts w:ascii="Times New Roman" w:hAnsi="Times New Roman" w:cs="Times New Roman" w:eastAsia="Times New Roman"/>
          <w:b w:val="true"/>
          <w:sz w:val="26"/>
        </w:rPr>
        <w:t>Chi tiết thủ tục hành chính</w:t>
      </w:r>
    </w:p>
    <w:p>
      <w:pPr>
        <w:spacing w:after="0" w:before="0" w:lineRule="auto" w:line="276"/>
        <w:jc w:val="both"/>
      </w:pPr>
      <w:r>
        <w:rPr>
          <w:rFonts w:ascii="Times New Roman" w:hAnsi="Times New Roman" w:cs="Times New Roman" w:eastAsia="Times New Roman"/>
          <w:b w:val="true"/>
          <w:sz w:val="26"/>
        </w:rPr>
        <w:t xml:space="preserve">Mã thủ tục: </w:t>
      </w:r>
      <w:r>
        <w:rPr>
          <w:rFonts w:ascii="Times New Roman" w:hAnsi="Times New Roman" w:cs="Times New Roman" w:eastAsia="Times New Roman"/>
          <w:b w:val="false"/>
          <w:sz w:val="26"/>
        </w:rPr>
        <w:t>2.001426</w:t>
      </w:r>
    </w:p>
    <w:p>
      <w:pPr>
        <w:spacing w:after="0" w:before="0" w:lineRule="auto" w:line="276"/>
        <w:jc w:val="both"/>
      </w:pPr>
      <w:r>
        <w:rPr>
          <w:rFonts w:ascii="Times New Roman" w:hAnsi="Times New Roman" w:cs="Times New Roman" w:eastAsia="Times New Roman"/>
          <w:b w:val="true"/>
          <w:sz w:val="26"/>
        </w:rPr>
        <w:t xml:space="preserve">Số quyết định: </w:t>
      </w:r>
      <w:r>
        <w:rPr>
          <w:rFonts w:ascii="Times New Roman" w:hAnsi="Times New Roman" w:cs="Times New Roman" w:eastAsia="Times New Roman"/>
          <w:b w:val="false"/>
          <w:sz w:val="26"/>
        </w:rPr>
        <w:t>1750/QĐ-BNNMT</w:t>
      </w:r>
    </w:p>
    <w:p>
      <w:pPr>
        <w:spacing w:after="0" w:before="0" w:lineRule="auto" w:line="276"/>
        <w:jc w:val="both"/>
      </w:pPr>
      <w:r>
        <w:rPr>
          <w:rFonts w:ascii="Times New Roman" w:hAnsi="Times New Roman" w:cs="Times New Roman" w:eastAsia="Times New Roman"/>
          <w:b w:val="true"/>
          <w:sz w:val="26"/>
        </w:rPr>
        <w:t xml:space="preserve">Tên thủ tục: </w:t>
      </w:r>
      <w:r>
        <w:rPr>
          <w:rFonts w:ascii="Times New Roman" w:hAnsi="Times New Roman" w:cs="Times New Roman" w:eastAsia="Times New Roman"/>
          <w:b w:val="false"/>
          <w:sz w:val="26"/>
        </w:rPr>
        <w:t>Cấp gia hạn, điều chỉnh nội dung giấy phép cho các hoạt động trong phạm vi bảo vệ công trình thuỷ lợi: Xây dựng công trình mới; Lập bến, bãi tập kết nguyên liệu, nhiên liệu, vật liệu, vật tư, phương tiện; Xây dựng công trình ngầm thuộc thẩm quyền cấp phép của Chủ tịch UBND cấp tỉnh</w:t>
      </w:r>
    </w:p>
    <w:p>
      <w:pPr>
        <w:spacing w:after="0" w:before="0" w:lineRule="auto" w:line="276"/>
        <w:jc w:val="both"/>
      </w:pPr>
      <w:r>
        <w:rPr>
          <w:rFonts w:ascii="Times New Roman" w:hAnsi="Times New Roman" w:cs="Times New Roman" w:eastAsia="Times New Roman"/>
          <w:b w:val="true"/>
          <w:sz w:val="26"/>
        </w:rPr>
        <w:t xml:space="preserve">Cấp thực hiện: </w:t>
      </w:r>
      <w:r>
        <w:rPr>
          <w:rFonts w:ascii="Times New Roman" w:hAnsi="Times New Roman" w:cs="Times New Roman" w:eastAsia="Times New Roman"/>
          <w:b w:val="false"/>
          <w:sz w:val="26"/>
        </w:rPr>
        <w:t>Cấp Tỉnh</w:t>
      </w:r>
    </w:p>
    <w:p>
      <w:pPr>
        <w:spacing w:after="0" w:before="0" w:lineRule="auto" w:line="276"/>
        <w:jc w:val="both"/>
      </w:pPr>
      <w:r>
        <w:rPr>
          <w:rFonts w:ascii="Times New Roman" w:hAnsi="Times New Roman" w:cs="Times New Roman" w:eastAsia="Times New Roman"/>
          <w:b w:val="true"/>
          <w:sz w:val="26"/>
        </w:rPr>
        <w:t xml:space="preserve">Loại thủ tục: </w:t>
      </w:r>
      <w:r>
        <w:rPr>
          <w:rFonts w:ascii="Times New Roman" w:hAnsi="Times New Roman" w:cs="Times New Roman" w:eastAsia="Times New Roman"/>
          <w:b w:val="false"/>
          <w:sz w:val="26"/>
        </w:rPr>
        <w:t>TTHC không được luật giao cho địa phương quy định hoặc quy định chi tiết</w:t>
      </w:r>
    </w:p>
    <w:p>
      <w:pPr>
        <w:spacing w:after="0" w:before="0" w:lineRule="auto" w:line="276"/>
        <w:jc w:val="both"/>
      </w:pPr>
      <w:r>
        <w:rPr>
          <w:rFonts w:ascii="Times New Roman" w:hAnsi="Times New Roman" w:cs="Times New Roman" w:eastAsia="Times New Roman"/>
          <w:b w:val="true"/>
          <w:sz w:val="26"/>
        </w:rPr>
        <w:t xml:space="preserve">Lĩnh vực: </w:t>
      </w:r>
      <w:r>
        <w:rPr>
          <w:rFonts w:ascii="Times New Roman" w:hAnsi="Times New Roman" w:cs="Times New Roman" w:eastAsia="Times New Roman"/>
          <w:b w:val="false"/>
          <w:sz w:val="26"/>
        </w:rPr>
        <w:t>Thủy lợi</w:t>
      </w:r>
    </w:p>
    <w:p>
      <w:pPr>
        <w:spacing w:after="0" w:before="0" w:lineRule="auto" w:line="276"/>
        <w:jc w:val="both"/>
      </w:pPr>
      <w:r>
        <w:rPr>
          <w:rFonts w:ascii="Times New Roman" w:hAnsi="Times New Roman" w:cs="Times New Roman" w:eastAsia="Times New Roman"/>
          <w:b w:val="true"/>
          <w:sz w:val="26"/>
        </w:rPr>
        <w:t xml:space="preserve">Trình tự thực hiện: </w:t>
      </w:r>
    </w:p>
    <w:p>
      <w:pPr>
        <w:shd w:val="clear" w:color="auto" w:fill="F2F6F9"/>
        <w:spacing w:after="0" w:before="120" w:lineRule="auto" w:line="276"/>
        <w:jc w:val="both"/>
      </w:pPr>
      <w:r>
        <w:rPr>
          <w:rFonts w:ascii="Times New Roman" w:hAnsi="Times New Roman" w:cs="Times New Roman" w:eastAsia="Times New Roman"/>
          <w:b w:val="true"/>
          <w:sz w:val="26"/>
        </w:rPr>
        <w:t/>
      </w:r>
    </w:p>
    <w:p>
      <w:pPr>
        <w:spacing w:after="0" w:before="0" w:lineRule="auto" w:line="276"/>
        <w:jc w:val="both"/>
      </w:pPr>
      <w:r>
        <w:rPr>
          <w:rFonts w:ascii="Times New Roman" w:hAnsi="Times New Roman" w:cs="Times New Roman" w:eastAsia="Times New Roman"/>
          <w:b w:val="false"/>
          <w:sz w:val="26"/>
        </w:rPr>
        <w:t>Bước 1: Tổ chức, cá nhân đề nghị gia hạn giấy phép nộp 01 bộ hồ sơ trực tiếp tại Trung tâm phục vụ hành chính công cấp tỉnh (sau đây gọi tắt là Bộ phận Một cửa) hoặc qua dịch vụ bưu chính hoặc qua ủy quyền theo quy định của pháp luật hoặc trực tuyến tại Cổng Dịch vụ công quốc gia.</w:t>
      </w:r>
    </w:p>
    <w:p>
      <w:pPr>
        <w:spacing w:after="0" w:before="0" w:lineRule="auto" w:line="276"/>
        <w:jc w:val="both"/>
      </w:pPr>
      <w:r>
        <w:rPr>
          <w:rFonts w:ascii="Times New Roman" w:hAnsi="Times New Roman" w:cs="Times New Roman" w:eastAsia="Times New Roman"/>
          <w:b w:val="false"/>
          <w:sz w:val="26"/>
        </w:rPr>
        <w:t>Bước 2: Cơ quan được Chủ tịch Ủy ban nhân dân cấp tỉnh giao tiếp nhận hồ sơ giải quyết thủ tục hành chính trả lời ngay tính đầy đủ của thành phần hồ sơ đối với trường hợp nộp trực tiếp; trả lời bằng văn bản trong 01 ngày làm việc, kể từ ngày nhận được hồ sơ, nếu thành phần hồ sơ chưa đầy đủ đối với trường hợp nộp hồ sơ qua dịch vụ bưu chính hoặc trực tuyến tại Cổng Dịch vụ công quốc gia. Trường hợp cơ quan tiếp nhận hồ sơ sau 16 giờ thì văn bản trả lời được gửi trong ngày làm việc tiếp theo.</w:t>
      </w:r>
    </w:p>
    <w:p>
      <w:pPr>
        <w:spacing w:after="0" w:before="0" w:lineRule="auto" w:line="276"/>
        <w:jc w:val="both"/>
      </w:pPr>
      <w:r>
        <w:rPr>
          <w:rFonts w:ascii="Times New Roman" w:hAnsi="Times New Roman" w:cs="Times New Roman" w:eastAsia="Times New Roman"/>
          <w:b w:val="false"/>
          <w:sz w:val="26"/>
        </w:rPr>
        <w:t>Bước 3: Xem xét hồ sơ và trình phê duyệt:
Trong thời hạn 08 ngày làm việc, kể từ ngày nhận đầy đủ hồ sơ, cơ quan chuyên môn được Chủ tịch Ủy ban nhân dân cấp tỉnh giao nhiệm vụ giải quyết hồ sơ tổ chức thẩm định và trình Chủ tịch Ủy ban nhân dân cấp tỉnh 18 xem xét, cấp giấy phép gia hạn, điều chỉnh nội dung. Trường hợp không đủ điều kiện, phải có văn bản trả lời tổ chức, cá nhân và nêu rõ lý do không cấp giấy phép.</w:t>
      </w:r>
    </w:p>
    <w:p>
      <w:pPr>
        <w:spacing w:after="0" w:before="240" w:lineRule="auto" w:line="276"/>
        <w:jc w:val="both"/>
      </w:pPr>
      <w:r>
        <w:rPr>
          <w:rFonts w:ascii="Times New Roman" w:hAnsi="Times New Roman" w:cs="Times New Roman" w:eastAsia="Times New Roman"/>
          <w:b w:val="true"/>
          <w:sz w:val="26"/>
        </w:rPr>
        <w:t xml:space="preserve">Cách thức thực hiện: </w:t>
      </w:r>
    </w:p>
    <w:tbl>
      <w:tblPr>
        <w:tblW w:w="0" w:type="auto"/>
        <w:tblBorders>
          <w:top w:val="single"/>
          <w:left w:val="single"/>
          <w:bottom w:val="single"/>
          <w:right w:val="single"/>
          <w:insideH w:val="single"/>
          <w:insideV w:val="single"/>
        </w:tblBorders>
      </w:tblPr>
      <w:tr>
        <w:tc>
          <w:tcPr>
            <w:tcW w:w="1500"/>
          </w:tcPr>
          <w:p/>
          <w:p>
            <w:pPr>
              <w:spacing w:after="0" w:before="0" w:lineRule="auto" w:line="276"/>
              <w:jc w:val="center"/>
            </w:pPr>
            <w:r>
              <w:rPr>
                <w:rFonts w:ascii="Times New Roman" w:hAnsi="Times New Roman" w:cs="Times New Roman" w:eastAsia="Times New Roman"/>
                <w:b w:val="true"/>
                <w:sz w:val="26"/>
              </w:rPr>
              <w:t>Hình thức nộp</w:t>
            </w:r>
          </w:p>
        </w:tc>
        <w:tc>
          <w:tcPr>
            <w:tcW w:w="2000"/>
          </w:tcPr>
          <w:p/>
          <w:p>
            <w:pPr>
              <w:spacing w:after="0" w:before="0" w:lineRule="auto" w:line="276"/>
              <w:jc w:val="center"/>
            </w:pPr>
            <w:r>
              <w:rPr>
                <w:rFonts w:ascii="Times New Roman" w:hAnsi="Times New Roman" w:cs="Times New Roman" w:eastAsia="Times New Roman"/>
                <w:b w:val="true"/>
                <w:sz w:val="26"/>
              </w:rPr>
              <w:t>Thời hạn giải quyết</w:t>
            </w:r>
          </w:p>
        </w:tc>
        <w:tc>
          <w:tcPr>
            <w:tcW w:w="3500"/>
          </w:tcPr>
          <w:p/>
          <w:p>
            <w:pPr>
              <w:spacing w:after="0" w:before="0" w:lineRule="auto" w:line="276"/>
              <w:jc w:val="center"/>
            </w:pPr>
            <w:r>
              <w:rPr>
                <w:rFonts w:ascii="Times New Roman" w:hAnsi="Times New Roman" w:cs="Times New Roman" w:eastAsia="Times New Roman"/>
                <w:b w:val="true"/>
                <w:sz w:val="26"/>
              </w:rPr>
              <w:t>Phí, lệ phí</w:t>
            </w:r>
          </w:p>
        </w:tc>
        <w:tc>
          <w:tcPr>
            <w:tcW w:w="3000"/>
          </w:tcPr>
          <w:p/>
          <w:p>
            <w:pPr>
              <w:spacing w:after="0" w:before="0" w:lineRule="auto" w:line="276"/>
              <w:jc w:val="center"/>
            </w:pPr>
            <w:r>
              <w:rPr>
                <w:rFonts w:ascii="Times New Roman" w:hAnsi="Times New Roman" w:cs="Times New Roman" w:eastAsia="Times New Roman"/>
                <w:b w:val="true"/>
                <w:sz w:val="26"/>
              </w:rPr>
              <w:t>Mô tả</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08 Ngày làm việc</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08 ngày làm việc, kể từ ngày nhận đủ hồ sơ hợp lệ theo quy định.</w:t>
            </w:r>
          </w:p>
        </w:tc>
      </w:tr>
      <w:tr>
        <w:tc>
          <w:p/>
          <w:p>
            <w:pPr>
              <w:spacing w:after="0" w:before="0" w:lineRule="auto" w:line="276"/>
              <w:jc w:val="left"/>
            </w:pPr>
            <w:r>
              <w:rPr>
                <w:rFonts w:ascii="Times New Roman" w:hAnsi="Times New Roman" w:cs="Times New Roman" w:eastAsia="Times New Roman"/>
                <w:b w:val="false"/>
                <w:sz w:val="26"/>
              </w:rPr>
              <w:t>Trực tuyến</w:t>
            </w:r>
          </w:p>
        </w:tc>
        <w:tc>
          <w:p/>
          <w:p>
            <w:pPr>
              <w:spacing w:after="0" w:before="0" w:lineRule="auto" w:line="276"/>
              <w:jc w:val="left"/>
            </w:pPr>
            <w:r>
              <w:rPr>
                <w:rFonts w:ascii="Times New Roman" w:hAnsi="Times New Roman" w:cs="Times New Roman" w:eastAsia="Times New Roman"/>
                <w:b w:val="false"/>
                <w:sz w:val="26"/>
              </w:rPr>
              <w:t>08 Ngày làm việc</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08 ngày làm việc, kể từ ngày nhận đủ hồ sơ hợp lệ theo quy định.</w:t>
            </w:r>
          </w:p>
        </w:tc>
      </w:tr>
      <w:tr>
        <w:tc>
          <w:p/>
          <w:p>
            <w:pPr>
              <w:spacing w:after="0" w:before="0" w:lineRule="auto" w:line="276"/>
              <w:jc w:val="left"/>
            </w:pPr>
            <w:r>
              <w:rPr>
                <w:rFonts w:ascii="Times New Roman" w:hAnsi="Times New Roman" w:cs="Times New Roman" w:eastAsia="Times New Roman"/>
                <w:b w:val="false"/>
                <w:sz w:val="26"/>
              </w:rPr>
              <w:t>Dịch vụ bưu chính</w:t>
            </w:r>
          </w:p>
        </w:tc>
        <w:tc>
          <w:p/>
          <w:p>
            <w:pPr>
              <w:spacing w:after="0" w:before="0" w:lineRule="auto" w:line="276"/>
              <w:jc w:val="left"/>
            </w:pPr>
            <w:r>
              <w:rPr>
                <w:rFonts w:ascii="Times New Roman" w:hAnsi="Times New Roman" w:cs="Times New Roman" w:eastAsia="Times New Roman"/>
                <w:b w:val="false"/>
                <w:sz w:val="26"/>
              </w:rPr>
              <w:t>08 Ngày làm việc</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08 ngày làm việc, kể từ ngày nhận đủ hồ sơ hợp lệ theo quy định.</w:t>
            </w:r>
          </w:p>
        </w:tc>
      </w:tr>
    </w:tbl>
    <w:p>
      <w:pPr>
        <w:spacing w:after="0" w:before="240" w:lineRule="auto" w:line="276"/>
        <w:jc w:val="both"/>
      </w:pPr>
      <w:r>
        <w:rPr>
          <w:rFonts w:ascii="Times New Roman" w:hAnsi="Times New Roman" w:cs="Times New Roman" w:eastAsia="Times New Roman"/>
          <w:b w:val="true"/>
          <w:sz w:val="26"/>
        </w:rPr>
        <w:t xml:space="preserve">Thành phần hồ sơ: </w:t>
      </w:r>
    </w:p>
    <w:p>
      <w:pPr>
        <w:shd w:val="clear" w:color="auto" w:fill="F2F6F9"/>
        <w:spacing w:after="0" w:before="120" w:lineRule="auto" w:line="276"/>
        <w:jc w:val="both"/>
      </w:pPr>
      <w:r>
        <w:rPr>
          <w:rFonts w:ascii="Times New Roman" w:hAnsi="Times New Roman" w:cs="Times New Roman" w:eastAsia="Times New Roman"/>
          <w:b w:val="true"/>
          <w:sz w:val="26"/>
        </w:rPr>
        <w:t>Bao gồm</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 Đơn đề nghị gia hạn, điều chỉnh nội dung giấy phép theo mẫu đơn (quy định tại Phụ lục III ban hành kèm theo Nghị định số 40/2026/NĐ-CP ngày 25/01/2026</w:t>
            </w:r>
          </w:p>
        </w:tc>
        <w:tc>
          <w:p/>
          <w:p>
            <w:pPr>
              <w:spacing w:after="0" w:before="0" w:lineRule="auto" w:line="276"/>
              <w:jc w:val="left"/>
            </w:pPr>
            <w:r>
              <w:rPr>
                <w:rFonts w:ascii="Times New Roman" w:hAnsi="Times New Roman" w:cs="Times New Roman" w:eastAsia="Times New Roman"/>
                <w:b w:val="false"/>
                <w:sz w:val="26"/>
              </w:rPr>
              <w:t>Maudondenghicapgiahangiayphep.docx</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Sơ họa vị trí khu vực tiến hành hoạt động đề nghị gia hạn, điều chỉnh nội dung giấy phép;</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Báo cáo tình hình thực hiện giấy phép được cấp của tổ chức, cá nhân;</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Văn bản ý kiến của tổ chức, cá nhân khai thác công trình thủy lợi về tình hình thực hiện giấy phép được cấp của tổ chức, cá nhân;</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Đối với các dự án đầu tư trong phạm vi bảo vệ của công trình thủy lợi, hồ sơ đề nghị gia hạn, điều chỉnh nội dung giấy phép phải bổ sung:</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 Bản sao quyết định thành lập hoặc bản sao giấy chứng nhận đăng ký doanh nghiệp, cập nhật đến thời điểm đề nghị gia hạn, điều chỉnh nội dung giấy phép (trong trường hợp chưa được tích hợp, kết nối và chia sẻ dữ liệu quốc gia)</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 Trường hợp có thay đổi quy mô, công suất, thông số chủ yếu của các hoạt động được cấp phép phải bổ sung các tài liệu tương ứng với nội dung thay đổi theo quy định của pháp luật có liên quan như: quyết định phê duyệt điều chỉnh, bổ sung quy hoạch, chủ trương đầu tư, dự án đầu tư; quyết định phê duyệt kết quả thẩm định báo cáo đánh giá tác động môi trường, giấy phép môi trường hoặc đăng ký môi trường đã được cơ quan có thẩm quyền ban hành (nếu thuộc đối tượng phải lập, điều chỉnh); thông báo thẩm định thiết kế cơ sở, bản vẽ thiết kế của dự án điều chỉnh.</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1</w:t>
            </w:r>
          </w:p>
        </w:tc>
      </w:tr>
    </w:tbl>
    <w:p>
      <w:pPr>
        <w:spacing w:after="0" w:before="240" w:lineRule="auto" w:line="276"/>
        <w:jc w:val="both"/>
      </w:pPr>
      <w:r>
        <w:rPr>
          <w:rFonts w:ascii="Times New Roman" w:hAnsi="Times New Roman" w:cs="Times New Roman" w:eastAsia="Times New Roman"/>
          <w:b w:val="true"/>
          <w:sz w:val="26"/>
        </w:rPr>
        <w:t xml:space="preserve">Đối tượng thực hiện: </w:t>
      </w:r>
      <w:r>
        <w:rPr>
          <w:rFonts w:ascii="Times New Roman" w:hAnsi="Times New Roman" w:cs="Times New Roman" w:eastAsia="Times New Roman"/>
          <w:b w:val="false"/>
          <w:sz w:val="26"/>
        </w:rPr>
        <w:t>Công dân Việt Nam, Tổ chức (không bao gồm doanh nghiệp, HTX)</w:t>
      </w:r>
    </w:p>
    <w:p>
      <w:pPr>
        <w:spacing w:after="0" w:before="0" w:lineRule="auto" w:line="276"/>
        <w:jc w:val="both"/>
      </w:pPr>
      <w:r>
        <w:rPr>
          <w:rFonts w:ascii="Times New Roman" w:hAnsi="Times New Roman" w:cs="Times New Roman" w:eastAsia="Times New Roman"/>
          <w:b w:val="true"/>
          <w:sz w:val="26"/>
        </w:rPr>
        <w:t xml:space="preserve">Cơ quan thực hiện: </w:t>
      </w:r>
      <w:r>
        <w:rPr>
          <w:rFonts w:ascii="Times New Roman" w:hAnsi="Times New Roman" w:cs="Times New Roman" w:eastAsia="Times New Roman"/>
          <w:b w:val="false"/>
          <w:sz w:val="26"/>
        </w:rPr>
        <w:t>Sở Nông nghiệp và Môi trường</w:t>
      </w:r>
    </w:p>
    <w:p>
      <w:pPr>
        <w:spacing w:after="0" w:before="0" w:lineRule="auto" w:line="276"/>
        <w:jc w:val="both"/>
      </w:pPr>
      <w:r>
        <w:rPr>
          <w:rFonts w:ascii="Times New Roman" w:hAnsi="Times New Roman" w:cs="Times New Roman" w:eastAsia="Times New Roman"/>
          <w:b w:val="true"/>
          <w:sz w:val="26"/>
        </w:rPr>
        <w:t xml:space="preserve">Cơ quan có thẩm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Địa chỉ tiếp nhận HS: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được ủy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phối hợp: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Kết quả thực hiện: </w:t>
      </w:r>
      <w:r>
        <w:rPr>
          <w:rFonts w:ascii="Times New Roman" w:hAnsi="Times New Roman" w:cs="Times New Roman" w:eastAsia="Times New Roman"/>
          <w:b w:val="false"/>
          <w:sz w:val="26"/>
        </w:rPr>
        <w:t>Giấy phép cho các hoạt động trong phạm vi bảo vệ công trình thủy lợi</w:t>
      </w:r>
    </w:p>
    <w:p>
      <w:pPr>
        <w:spacing w:after="0" w:before="0" w:lineRule="auto" w:line="276"/>
        <w:jc w:val="both"/>
      </w:pPr>
      <w:r>
        <w:rPr>
          <w:rFonts w:ascii="Times New Roman" w:hAnsi="Times New Roman" w:cs="Times New Roman" w:eastAsia="Times New Roman"/>
          <w:b w:val="true"/>
          <w:sz w:val="26"/>
        </w:rPr>
        <w:t xml:space="preserve">Căn cứ pháp lý: </w:t>
      </w:r>
    </w:p>
    <w:tbl>
      <w:tblPr>
        <w:tblW w:w="0" w:type="auto"/>
        <w:tblBorders>
          <w:top w:val="single"/>
          <w:left w:val="single"/>
          <w:bottom w:val="single"/>
          <w:right w:val="single"/>
          <w:insideH w:val="single"/>
          <w:insideV w:val="single"/>
        </w:tblBorders>
      </w:tblPr>
      <w:tr>
        <w:tc>
          <w:tcPr>
            <w:tcW w:w="2000"/>
          </w:tcPr>
          <w:p/>
          <w:p>
            <w:pPr>
              <w:spacing w:after="0" w:before="0" w:lineRule="auto" w:line="276"/>
              <w:jc w:val="center"/>
            </w:pPr>
            <w:r>
              <w:rPr>
                <w:rFonts w:ascii="Times New Roman" w:hAnsi="Times New Roman" w:cs="Times New Roman" w:eastAsia="Times New Roman"/>
                <w:b w:val="true"/>
                <w:sz w:val="26"/>
              </w:rPr>
              <w:t>Số ký hiệu</w:t>
            </w:r>
          </w:p>
        </w:tc>
        <w:tc>
          <w:tcPr>
            <w:tcW w:w="3500"/>
          </w:tcPr>
          <w:p/>
          <w:p>
            <w:pPr>
              <w:spacing w:after="0" w:before="0" w:lineRule="auto" w:line="276"/>
              <w:jc w:val="center"/>
            </w:pPr>
            <w:r>
              <w:rPr>
                <w:rFonts w:ascii="Times New Roman" w:hAnsi="Times New Roman" w:cs="Times New Roman" w:eastAsia="Times New Roman"/>
                <w:b w:val="true"/>
                <w:sz w:val="26"/>
              </w:rPr>
              <w:t>Trích yếu</w:t>
            </w:r>
          </w:p>
        </w:tc>
        <w:tc>
          <w:tcPr>
            <w:tcW w:w="1500"/>
          </w:tcPr>
          <w:p/>
          <w:p>
            <w:pPr>
              <w:spacing w:after="0" w:before="0" w:lineRule="auto" w:line="276"/>
              <w:jc w:val="center"/>
            </w:pPr>
            <w:r>
              <w:rPr>
                <w:rFonts w:ascii="Times New Roman" w:hAnsi="Times New Roman" w:cs="Times New Roman" w:eastAsia="Times New Roman"/>
                <w:b w:val="true"/>
                <w:sz w:val="26"/>
              </w:rPr>
              <w:t>Ngày ban hành</w:t>
            </w:r>
          </w:p>
        </w:tc>
        <w:tc>
          <w:tcPr>
            <w:tcW w:w="3000"/>
          </w:tcPr>
          <w:p/>
          <w:p>
            <w:pPr>
              <w:spacing w:after="0" w:before="0" w:lineRule="auto" w:line="276"/>
              <w:jc w:val="center"/>
            </w:pPr>
            <w:r>
              <w:rPr>
                <w:rFonts w:ascii="Times New Roman" w:hAnsi="Times New Roman" w:cs="Times New Roman" w:eastAsia="Times New Roman"/>
                <w:b w:val="true"/>
                <w:sz w:val="26"/>
              </w:rPr>
              <w:t>Cơ quan ban hành</w:t>
            </w:r>
          </w:p>
        </w:tc>
      </w:tr>
      <w:tr>
        <w:tc>
          <w:p/>
          <w:p>
            <w:pPr>
              <w:spacing w:after="0" w:before="0" w:lineRule="auto" w:line="276"/>
              <w:jc w:val="left"/>
            </w:pPr>
            <w:r>
              <w:rPr>
                <w:rFonts w:ascii="Times New Roman" w:hAnsi="Times New Roman" w:cs="Times New Roman" w:eastAsia="Times New Roman"/>
                <w:b w:val="false"/>
                <w:sz w:val="26"/>
              </w:rPr>
              <w:t>08/2017/QH14</w:t>
            </w:r>
          </w:p>
        </w:tc>
        <w:tc>
          <w:p/>
          <w:p>
            <w:pPr>
              <w:spacing w:after="0" w:before="0" w:lineRule="auto" w:line="276"/>
              <w:jc w:val="left"/>
            </w:pPr>
            <w:r>
              <w:rPr>
                <w:rFonts w:ascii="Times New Roman" w:hAnsi="Times New Roman" w:cs="Times New Roman" w:eastAsia="Times New Roman"/>
                <w:b w:val="false"/>
                <w:sz w:val="26"/>
              </w:rPr>
              <w:t>Luật 08/2017/QH14</w:t>
            </w:r>
          </w:p>
        </w:tc>
        <w:tc>
          <w:p/>
          <w:p>
            <w:pPr>
              <w:spacing w:after="0" w:before="0" w:lineRule="auto" w:line="276"/>
              <w:jc w:val="left"/>
            </w:pPr>
            <w:r>
              <w:rPr>
                <w:rFonts w:ascii="Times New Roman" w:hAnsi="Times New Roman" w:cs="Times New Roman" w:eastAsia="Times New Roman"/>
                <w:b w:val="false"/>
                <w:sz w:val="26"/>
              </w:rPr>
              <w:t>19-06-2017</w:t>
            </w:r>
          </w:p>
        </w:tc>
        <w:tc>
          <w:p/>
          <w:p>
            <w:pPr>
              <w:spacing w:after="0" w:before="0" w:lineRule="auto" w:line="276"/>
              <w:jc w:val="left"/>
            </w:pPr>
            <w:r>
              <w:rPr>
                <w:rFonts w:ascii="Times New Roman" w:hAnsi="Times New Roman" w:cs="Times New Roman" w:eastAsia="Times New Roman"/>
                <w:b w:val="false"/>
                <w:sz w:val="26"/>
              </w:rPr>
              <w:t>Quốc Hội</w:t>
            </w:r>
          </w:p>
        </w:tc>
      </w:tr>
      <w:tr>
        <w:tc>
          <w:p/>
          <w:p>
            <w:pPr>
              <w:spacing w:after="0" w:before="0" w:lineRule="auto" w:line="276"/>
              <w:jc w:val="left"/>
            </w:pPr>
            <w:r>
              <w:rPr>
                <w:rFonts w:ascii="Times New Roman" w:hAnsi="Times New Roman" w:cs="Times New Roman" w:eastAsia="Times New Roman"/>
                <w:b w:val="false"/>
                <w:sz w:val="26"/>
              </w:rPr>
              <w:t>146/2025/QH15</w:t>
            </w:r>
          </w:p>
        </w:tc>
        <w:tc>
          <w:p/>
          <w:p>
            <w:pPr>
              <w:spacing w:after="0" w:before="0" w:lineRule="auto" w:line="276"/>
              <w:jc w:val="left"/>
            </w:pPr>
            <w:r>
              <w:rPr>
                <w:rFonts w:ascii="Times New Roman" w:hAnsi="Times New Roman" w:cs="Times New Roman" w:eastAsia="Times New Roman"/>
                <w:b w:val="false"/>
                <w:sz w:val="26"/>
              </w:rPr>
              <w:t>Luật số 146/2025/QH15 ngày 11/12/2025 của Quốc hội sửa đổi, bổ sung một số điều của 15 luật trong lĩnh vực nông nghiệp và môi trường</w:t>
            </w:r>
          </w:p>
        </w:tc>
        <w:tc>
          <w:p/>
          <w:p>
            <w:pPr>
              <w:spacing w:after="0" w:before="0" w:lineRule="auto" w:line="276"/>
              <w:jc w:val="left"/>
            </w:pPr>
            <w:r>
              <w:rPr>
                <w:rFonts w:ascii="Times New Roman" w:hAnsi="Times New Roman" w:cs="Times New Roman" w:eastAsia="Times New Roman"/>
                <w:b w:val="false"/>
                <w:sz w:val="26"/>
              </w:rPr>
              <w:t>11-12-2025</w:t>
            </w:r>
          </w:p>
        </w:tc>
        <w:tc>
          <w:p/>
          <w:p>
            <w:pPr>
              <w:spacing w:after="0" w:before="0" w:lineRule="auto" w:line="276"/>
              <w:jc w:val="left"/>
            </w:pPr>
            <w:r>
              <w:rPr>
                <w:rFonts w:ascii="Times New Roman" w:hAnsi="Times New Roman" w:cs="Times New Roman" w:eastAsia="Times New Roman"/>
                <w:b w:val="false"/>
                <w:sz w:val="26"/>
              </w:rPr>
              <w:t>Ủy ban thường vụ quốc hội</w:t>
            </w:r>
          </w:p>
        </w:tc>
      </w:tr>
      <w:tr>
        <w:tc>
          <w:p/>
          <w:p>
            <w:pPr>
              <w:spacing w:after="0" w:before="0" w:lineRule="auto" w:line="276"/>
              <w:jc w:val="left"/>
            </w:pPr>
            <w:r>
              <w:rPr>
                <w:rFonts w:ascii="Times New Roman" w:hAnsi="Times New Roman" w:cs="Times New Roman" w:eastAsia="Times New Roman"/>
                <w:b w:val="false"/>
                <w:sz w:val="26"/>
              </w:rPr>
              <w:t>40/2026/NĐ-CP</w:t>
            </w:r>
          </w:p>
        </w:tc>
        <w:tc>
          <w:p/>
          <w:p>
            <w:pPr>
              <w:spacing w:after="0" w:before="0" w:lineRule="auto" w:line="276"/>
              <w:jc w:val="left"/>
            </w:pPr>
            <w:r>
              <w:rPr>
                <w:rFonts w:ascii="Times New Roman" w:hAnsi="Times New Roman" w:cs="Times New Roman" w:eastAsia="Times New Roman"/>
                <w:b w:val="false"/>
                <w:sz w:val="26"/>
              </w:rPr>
              <w:t>Nghị định số 40/2026/NĐ-CP ngày 25/01/2026</w:t>
            </w:r>
          </w:p>
        </w:tc>
        <w:tc>
          <w:p/>
          <w:p>
            <w:pPr>
              <w:spacing w:after="0" w:before="0" w:lineRule="auto" w:line="276"/>
              <w:jc w:val="left"/>
            </w:pPr>
            <w:r>
              <w:rPr>
                <w:rFonts w:ascii="Times New Roman" w:hAnsi="Times New Roman" w:cs="Times New Roman" w:eastAsia="Times New Roman"/>
                <w:b w:val="false"/>
                <w:sz w:val="26"/>
              </w:rPr>
              <w:t>25-01-2026</w:t>
            </w:r>
          </w:p>
        </w:tc>
        <w:tc>
          <w:p/>
          <w:p>
            <w:pPr>
              <w:spacing w:after="0" w:before="0" w:lineRule="auto" w:line="276"/>
              <w:jc w:val="left"/>
            </w:pPr>
            <w:r>
              <w:rPr>
                <w:rFonts w:ascii="Times New Roman" w:hAnsi="Times New Roman" w:cs="Times New Roman" w:eastAsia="Times New Roman"/>
                <w:b w:val="false"/>
                <w:sz w:val="26"/>
              </w:rPr>
              <w:t>Thủ tướng Chính phủ</w:t>
            </w:r>
          </w:p>
        </w:tc>
      </w:tr>
      <w:tr>
        <w:tc>
          <w:p/>
          <w:p>
            <w:pPr>
              <w:spacing w:after="0" w:before="0" w:lineRule="auto" w:line="276"/>
              <w:jc w:val="left"/>
            </w:pPr>
            <w:r>
              <w:rPr>
                <w:rFonts w:ascii="Times New Roman" w:hAnsi="Times New Roman" w:cs="Times New Roman" w:eastAsia="Times New Roman"/>
                <w:b w:val="false"/>
                <w:sz w:val="26"/>
              </w:rPr>
              <w:t>17/2026/NQ-CP</w:t>
            </w:r>
          </w:p>
        </w:tc>
        <w:tc>
          <w:p/>
          <w:p>
            <w:pPr>
              <w:spacing w:after="0" w:before="0" w:lineRule="auto" w:line="276"/>
              <w:jc w:val="left"/>
            </w:pPr>
            <w:r>
              <w:rPr>
                <w:rFonts w:ascii="Times New Roman" w:hAnsi="Times New Roman" w:cs="Times New Roman" w:eastAsia="Times New Roman"/>
                <w:b w:val="false"/>
                <w:sz w:val="26"/>
              </w:rPr>
              <w:t>Về cắt giảm, phân cấp, đơn giản hóa thủ tục hành chính và cắt giảm, đơn giản hóa điều kiện kinh doanh thuộc phạm vi quản lý của Bộ Nông nghiệp và Môi trường</w:t>
            </w:r>
          </w:p>
        </w:tc>
        <w:tc>
          <w:p/>
          <w:p>
            <w:pPr>
              <w:spacing w:after="0" w:before="0" w:lineRule="auto" w:line="276"/>
              <w:jc w:val="left"/>
            </w:pPr>
            <w:r>
              <w:rPr>
                <w:rFonts w:ascii="Times New Roman" w:hAnsi="Times New Roman" w:cs="Times New Roman" w:eastAsia="Times New Roman"/>
                <w:b w:val="false"/>
                <w:sz w:val="26"/>
              </w:rPr>
              <w:t>29-04-2026</w:t>
            </w:r>
          </w:p>
        </w:tc>
        <w:tc>
          <w:p/>
        </w:tc>
      </w:tr>
    </w:tbl>
    <w:p>
      <w:pPr>
        <w:spacing w:after="0" w:before="240" w:lineRule="auto" w:line="276"/>
        <w:jc w:val="both"/>
      </w:pPr>
      <w:r>
        <w:rPr>
          <w:rFonts w:ascii="Times New Roman" w:hAnsi="Times New Roman" w:cs="Times New Roman" w:eastAsia="Times New Roman"/>
          <w:b w:val="true"/>
          <w:sz w:val="26"/>
        </w:rPr>
        <w:t xml:space="preserve">Yêu cầu, điều kiện thực hiện: </w:t>
      </w:r>
      <w:r>
        <w:rPr>
          <w:rFonts w:ascii="Times New Roman" w:hAnsi="Times New Roman" w:cs="Times New Roman" w:eastAsia="Times New Roman"/>
          <w:b w:val="false"/>
          <w:sz w:val="26"/>
        </w:rPr>
        <w:t>Không có</w:t>
      </w:r>
    </w:p>
    <w:p>
      <w:pPr>
        <w:spacing w:after="0" w:before="0" w:lineRule="auto" w:line="276"/>
        <w:jc w:val="both"/>
      </w:pPr>
      <w:r>
        <w:rPr>
          <w:rFonts w:ascii="Times New Roman" w:hAnsi="Times New Roman" w:cs="Times New Roman" w:eastAsia="Times New Roman"/>
          <w:b w:val="true"/>
          <w:sz w:val="26"/>
        </w:rPr>
        <w:t xml:space="preserve">Từ khóa: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Mô tả: </w:t>
      </w:r>
      <w:r>
        <w:rPr>
          <w:rFonts w:ascii="Times New Roman" w:hAnsi="Times New Roman" w:cs="Times New Roman" w:eastAsia="Times New Roman"/>
          <w:b w:val="false"/>
          <w:sz w:val="26"/>
        </w:rPr>
        <w:t>Không có thông tin</w:t>
      </w:r>
    </w:p>
    <w:sectPr>
      <w:pgMar w:left="1702" w:top="1137" w:right="1137" w:bottom="1137"/>
    </w:sectPr>
  </w:body>
</w:document>
</file>

<file path=word/settings.xml><?xml version="1.0" encoding="utf-8"?>
<w:settings xmlns:w="http://schemas.openxmlformats.org/wordprocessingml/2006/main"/>
</file>

<file path=word/_rels/document.xml.rels><?xml version="1.0" encoding="UTF-8" standalone="no"?>
<Relationships xmlns="http://schemas.openxmlformats.org/package/2006/relationships">
<Relationship Id="rId1" Target="settings.xml" Type="http://schemas.openxmlformats.org/officeDocument/2006/relationships/settings"/>
</Relationships>

</file>

<file path=docProps/app.xml><?xml version="1.0" encoding="utf-8"?>
<Properties xmlns="http://schemas.openxmlformats.org/officeDocument/2006/extended-properties">
  <Application>Apache POI</Applicat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2026-05-27T20:15:13Z</dcterms:created>
  <dc:creator>Apache POI</dc:creator>
</cp:coreProperties>
</file>