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thuốc bảo vệ thực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01 bộ hồ sơ đề nghị cấp Giấy chứng nhận đủ điều kiện sản xuất thuốc bảo vệ thực vật đến cơ quan được Chủ tịch Ủy ban nhân dân cấp tỉnh giao tiếp nhận hồ sơ giải quyết thủ tục hành chính (nơi tổ chức, cá nhân đặt nhà máy sản xuất) bằng hình thức trực tiếp hoặc môi trường mạng hoặc qua dịch vụ bưu chính.</w:t>
      </w:r>
    </w:p>
    <w:p>
      <w:pPr>
        <w:spacing w:after="0" w:before="0" w:lineRule="auto" w:line="276"/>
        <w:jc w:val="both"/>
      </w:pPr>
      <w:r>
        <w:rPr>
          <w:rFonts w:ascii="Times New Roman" w:hAnsi="Times New Roman" w:cs="Times New Roman" w:eastAsia="Times New Roman"/>
          <w:b w:val="false"/>
          <w:sz w:val="26"/>
        </w:rPr>
        <w:t>Bước 2: Cơ quan được Chủ tịch Ủy ban nhân dân cấp tỉnh giao tiếp nhận hồ sơ giải quyết thủ tục hành chính trả lời ngay tính đầy đủ của hồ sơ đối với trường hợp nộp trực tiếp; trả lời bằng văn bản tính đầy đủ của hồ sơ trong 01 ngày làm việc đối với trường hợp nộp hồ sơ qua môi trường mạng hoặc qua dịch vụ bưu chính.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cơ quan được Chủ tịch Ủy ban nhân dân cấp tỉnh giao giải quyết thủ tục hành chính tổ chức thẩm định, tổ chức kiểm tra thực tế (có thành lập đoàn đánh giá và biên bản đánh giá điều kiện sản xuất thuốc bảo vệ thực vật theo Mẫu số 05 Phụ lục III ban hành kèm theo Nghị định số 33/2026/NĐ-CP) và trình Chủ tịch Ủy ban nhân dân cấp tỉnh.</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nhận được hồ sơ trình của cơ quan được Chủ tịch Ủy ban nhân dân cấp tỉnh giao giải quyết thủ tục hành chính, Chủ tịch Ủy ban nhân dân cấp tỉnh xem xét, quyết định cấp Giấy chứng nhận đủ điều kiện sản xuất thuốc bảo vệ thực vật theo Mẫu số 07 Phụ lục III ban hành kèm theo Nghị định số 33/2026/NĐ-CP; trường hợp không cấp,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6.000000 Đồng</w:t>
              <w:t xml:space="preserve"> (đồng/lần)</w:t>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6.000000 Đồng</w:t>
              <w:t xml:space="preserve"> (đồng/lần)</w:t>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6.000000 Đồng</w:t>
              <w:t xml:space="preserve"> (đồng/lần)</w:t>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sản xuất thuốc bảo vệ thực vật theo Mẫu số 01 Phụ lục III ban hành kèm theo Nghị định số 33/2026/NĐ-CP.</w:t>
            </w:r>
          </w:p>
        </w:tc>
        <w:tc>
          <w:p/>
          <w:p>
            <w:pPr>
              <w:spacing w:after="0" w:before="0" w:lineRule="auto" w:line="276"/>
              <w:jc w:val="left"/>
            </w:pPr>
            <w:r>
              <w:rPr>
                <w:rFonts w:ascii="Times New Roman" w:hAnsi="Times New Roman" w:cs="Times New Roman" w:eastAsia="Times New Roman"/>
                <w:b w:val="false"/>
                <w:sz w:val="26"/>
              </w:rPr>
              <w:t>Mus01-PhlcIII.docx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điều kiện sản xuất thuốc bảo vệ thực vật theo Mẫu số 02 Phụ lục III ban hành kèm theo Nghị định số 33/2026/NĐ-CP.</w:t>
            </w:r>
          </w:p>
        </w:tc>
        <w:tc>
          <w:p/>
          <w:p>
            <w:pPr>
              <w:spacing w:after="0" w:before="0" w:lineRule="auto" w:line="276"/>
              <w:jc w:val="left"/>
            </w:pPr>
            <w:r>
              <w:rPr>
                <w:rFonts w:ascii="Times New Roman" w:hAnsi="Times New Roman" w:cs="Times New Roman" w:eastAsia="Times New Roman"/>
                <w:b w:val="false"/>
                <w:sz w:val="26"/>
              </w:rPr>
              <w:t>Mus02-PhlcIII.docx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được Chủ tịch Ủy ban nhân dân cấp tỉnh giao tiếp nhận hồ sơ giải quyết thủ tục hành chính (nơi tổ chức, cá nhân đặt nhà máy sản xuất)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thuốc bảo vệ thực vật theo Mẫu số 07 Phụ lục III ban hành kèm theo Nghị định số 33/2026/NĐ-CP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123/2018/NĐ-CP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VỀ ĐIỀU KIỆN ĐẦU TƯ, KINH DOANH TRONG LĨNH VỰC NÔNG NGHIỆP</w:t>
            </w:r>
          </w:p>
        </w:tc>
        <w:tc>
          <w:p/>
          <w:p>
            <w:pPr>
              <w:spacing w:after="0" w:before="0" w:lineRule="auto" w:line="276"/>
              <w:jc w:val="left"/>
            </w:pPr>
            <w:r>
              <w:rPr>
                <w:rFonts w:ascii="Times New Roman" w:hAnsi="Times New Roman" w:cs="Times New Roman" w:eastAsia="Times New Roman"/>
                <w:b w:val="false"/>
                <w:sz w:val="26"/>
              </w:rPr>
              <w:t>17-09-2018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41/2013/QH13</w:t>
            </w:r>
          </w:p>
        </w:tc>
        <w:tc>
          <w:p/>
          <w:p>
            <w:pPr>
              <w:spacing w:after="0" w:before="0" w:lineRule="auto" w:line="276"/>
              <w:jc w:val="left"/>
            </w:pPr>
            <w:r>
              <w:rPr>
                <w:rFonts w:ascii="Times New Roman" w:hAnsi="Times New Roman" w:cs="Times New Roman" w:eastAsia="Times New Roman"/>
                <w:b w:val="false"/>
                <w:sz w:val="26"/>
              </w:rPr>
              <w:t>Bảo vệ và kiểm dịch thực vật</w:t>
            </w:r>
          </w:p>
        </w:tc>
        <w:tc>
          <w:p/>
          <w:p>
            <w:pPr>
              <w:spacing w:after="0" w:before="0" w:lineRule="auto" w:line="276"/>
              <w:jc w:val="left"/>
            </w:pPr>
            <w:r>
              <w:rPr>
                <w:rFonts w:ascii="Times New Roman" w:hAnsi="Times New Roman" w:cs="Times New Roman" w:eastAsia="Times New Roman"/>
                <w:b w:val="false"/>
                <w:sz w:val="26"/>
              </w:rPr>
              <w:t>25-11-2013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66/2016/NĐ-CP	</w:t>
            </w:r>
          </w:p>
        </w:tc>
        <w:tc>
          <w:p/>
          <w:p>
            <w:pPr>
              <w:spacing w:after="0" w:before="0" w:lineRule="auto" w:line="276"/>
              <w:jc w:val="left"/>
            </w:pPr>
            <w:r>
              <w:rPr>
                <w:rFonts w:ascii="Times New Roman" w:hAnsi="Times New Roman" w:cs="Times New Roman" w:eastAsia="Times New Roman"/>
                <w:b w:val="false"/>
                <w:sz w:val="26"/>
              </w:rPr>
              <w:t>Quy định điều kiện đầu tư kinh doanh về bảo vệ và kiểm dịch thực vật; giống cây trồng; nuôi động vật rừng thông thường; chăn nuôi; thủy sản; thực phẩm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33/2021/TT-BTC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trong hoạt động kiểm dịch và bảo vệ thực vật thuộc lĩnh vực nông nghiệp</w:t>
            </w:r>
          </w:p>
        </w:tc>
        <w:tc>
          <w:p/>
          <w:p>
            <w:pPr>
              <w:spacing w:after="0" w:before="0" w:lineRule="auto" w:line="276"/>
              <w:jc w:val="left"/>
            </w:pPr>
            <w:r>
              <w:rPr>
                <w:rFonts w:ascii="Times New Roman" w:hAnsi="Times New Roman" w:cs="Times New Roman" w:eastAsia="Times New Roman"/>
                <w:b w:val="false"/>
                <w:sz w:val="26"/>
              </w:rPr>
              <w:t>17-05-2021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số 33/2026/NĐ-CP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trồng trọt và bảo vệ thực vật</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07/2026/TT-BNNMT</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Bảo vệ và kiểm dịch thực vật, Luật Trồng trọt và sửa đổi, bổ sung một số điều của các thông tư trong lĩnh vực trồng trọt và bảo vệ thực vật</w:t>
            </w:r>
          </w:p>
        </w:tc>
        <w:tc>
          <w:p/>
          <w:p>
            <w:pPr>
              <w:spacing w:after="0" w:before="0" w:lineRule="auto" w:line="276"/>
              <w:jc w:val="left"/>
            </w:pPr>
            <w:r>
              <w:rPr>
                <w:rFonts w:ascii="Times New Roman" w:hAnsi="Times New Roman" w:cs="Times New Roman" w:eastAsia="Times New Roman"/>
                <w:b w:val="false"/>
                <w:sz w:val="26"/>
              </w:rPr>
              <w:t>23-01-2026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sản xuất thuốc bảo vệ thực vật phải bảo đảm các điều kiện quy định tại Điều 61 Luật Bảo vệ và kiểm dịch thực vật và các điều kiện chi tiết sau:
- Người trực tiếp quản lý, điều hành sản xuất có trình độ đại học trở lên về một trong các chuyên ngành hóa học, bảo vệ thực vật, sinh học, nông học; người lao động trực tiếp sản xuất thuốc bảo vệ thực vật phải được huấn luyện an toàn về chuyên ngành hóa chất.
- Nhà xưởng, kho chứa thuốc bảo vệ thực vật phải được bố trí trong cụm công nghiệp, khu công nghiệp và đảm bảo yêu cầu của quy chuẩn kỹ thuật quốc gia về an toàn trong sản xuất, kinh doanh, sử dụng, bảo quản và vận chuyển hóa chất nguy hiểm.
- Thiết bị sản xuất hoạt chất, thuốc kỹ thuật, sản xuất thuốc thành phẩm từ thuốc kỹ thuật và đóng gói thuốc bảo vệ thực vật phải đáp ứng quy trình, công nghệ sản xuất và đạt yêu cầu về an toàn theo quy định tại quy chuẩn kỹ thuật quốc gia về an toàn trong sản xuất, kinh doanh, sử dụng, bảo quản và vận chuyển hóa chất nguy hiểm.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2026-05-20T04:42:58Z</dcterms:created>
  <dc:creator>Apache POI</dc:creator>
</cp:coreProperties>
</file>