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tham gia Hệ thống mạng đấu thầu quốc gia đối với nhà thầu, nhà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Đăng ký thông tin nhà thầu, nhà đầu tư trên mạng
+ Nhà thầu, nhà đầu tư đăng ký các thông tin của đơn vị mình trên Hệ thống mạng đấu thầu quốc gia tại địa chỉ https://muasamcong.mpi.gov.vn (Hệ thống);</w:t>
      </w:r>
    </w:p>
    <w:p>
      <w:pPr>
        <w:spacing w:after="0" w:before="0" w:lineRule="auto" w:line="276"/>
        <w:jc w:val="both"/>
      </w:pPr>
      <w:r>
        <w:rPr>
          <w:rFonts w:ascii="Times New Roman" w:hAnsi="Times New Roman" w:cs="Times New Roman" w:eastAsia="Times New Roman"/>
          <w:b w:val="false"/>
          <w:sz w:val="26"/>
        </w:rPr>
        <w:t>+ Nhà thầu, nhà đầu tư in đơn đăng ký từ Hệ thống; gửi đính kèm bản scan đơn đăng ký có chữ ký và dấu trên Hệ thống</w:t>
      </w:r>
    </w:p>
    <w:p>
      <w:pPr>
        <w:spacing w:after="0" w:before="0" w:lineRule="auto" w:line="276"/>
        <w:jc w:val="both"/>
      </w:pPr>
      <w:r>
        <w:rPr>
          <w:rFonts w:ascii="Times New Roman" w:hAnsi="Times New Roman" w:cs="Times New Roman" w:eastAsia="Times New Roman"/>
          <w:b w:val="false"/>
          <w:sz w:val="26"/>
        </w:rPr>
        <w:t>-  Bước 2: Nhận kết quả xử lý đơn đăng ký và thông tin tải khoản đăng nhập của Tổ chức tham gia Hệ thống qua thư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đăng ký </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VNĐ (đã bao gồm 10% phí VAT) theo quy định tại Điều 5 Thông tư 06/2021/TT-BKHĐT)</w:t>
            </w:r>
          </w:p>
        </w:tc>
        <w:tc>
          <w:p/>
          <w:p>
            <w:pPr>
              <w:spacing w:after="0" w:before="0" w:lineRule="auto" w:line="276"/>
              <w:jc w:val="left"/>
            </w:pPr>
            <w:r>
              <w:rPr>
                <w:rFonts w:ascii="Times New Roman" w:hAnsi="Times New Roman" w:cs="Times New Roman" w:eastAsia="Times New Roman"/>
                <w:b w:val="false"/>
                <w:sz w:val="26"/>
              </w:rPr>
              <w:t>-  Nhà thầu, nhà đầu tư gửi hồ sơ đăng ký trên Hệ thống theo Hướng dẫn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tham gia Hệ thống được hình thành trên Hệ thống trong quá trình nhà thầu, nhà đầu tư kê khai thông tin đăng ký tham gia Hệ thống. Trường hợp người đại diện theo pháp luật của Tổ chức tham gia Hệ thống ủy quyền ký đơn đăng ký thì giấy ủy quyền này phải được đính kèm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tham gia Hệ thống không có tên trên Hệ thống thông tin quốc gia về đăng ký doanh nghiệp thì phải đính kèm trên Hệ thống bản chụp Quyết định thành lập hoặc Giấy chứng nhận đăng ký doanh nghiệp hoặc Giấy chứng nhận đăng ký hộ kinh doanh (đối với hộ kinh doanh cá thể)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Tên mẫu đơn, mẫu tờ khai: Thực hiện theo form Mẫu do Hệ thống hướng dẫn trong quá trình thực hiện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Đấu thầu qua mạng quốc gia - 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Nhà thầu, nhà đầu tư có tên trong danh sách cơ sở dữ liệu nhà thầu, nhà đầu tư được phê duyệt trên Hệ thống, được cấp Tài khoản tham gia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25/2020/NĐ-Cp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28-02-2020</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95/2020/NĐ-CP</w:t>
            </w:r>
          </w:p>
        </w:tc>
        <w:tc>
          <w:p/>
          <w:p>
            <w:pPr>
              <w:spacing w:after="0" w:before="0" w:lineRule="auto" w:line="276"/>
              <w:jc w:val="left"/>
            </w:pPr>
            <w:r>
              <w:rPr>
                <w:rFonts w:ascii="Times New Roman" w:hAnsi="Times New Roman" w:cs="Times New Roman" w:eastAsia="Times New Roman"/>
                <w:b w:val="false"/>
                <w:sz w:val="26"/>
              </w:rPr>
              <w:t>Hướng dẫn thực hiện về đấu thầu mua sắm theo Hiệp định Đối tác Toàn diện và Tiến bộ xuyên Thái Bình Dương</w:t>
            </w:r>
          </w:p>
        </w:tc>
        <w:tc>
          <w:p/>
          <w:p>
            <w:pPr>
              <w:spacing w:after="0" w:before="0" w:lineRule="auto" w:line="276"/>
              <w:jc w:val="left"/>
            </w:pPr>
            <w:r>
              <w:rPr>
                <w:rFonts w:ascii="Times New Roman" w:hAnsi="Times New Roman" w:cs="Times New Roman" w:eastAsia="Times New Roman"/>
                <w:b w:val="false"/>
                <w:sz w:val="26"/>
              </w:rPr>
              <w:t>24-08-2020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09/2022/NĐ-CP</w:t>
            </w:r>
          </w:p>
        </w:tc>
        <w:tc>
          <w:p/>
          <w:p>
            <w:pPr>
              <w:spacing w:after="0" w:before="0" w:lineRule="auto" w:line="276"/>
              <w:jc w:val="left"/>
            </w:pPr>
            <w:r>
              <w:rPr>
                <w:rFonts w:ascii="Times New Roman" w:hAnsi="Times New Roman" w:cs="Times New Roman" w:eastAsia="Times New Roman"/>
                <w:b w:val="false"/>
                <w:sz w:val="26"/>
              </w:rPr>
              <w:t>- Nghị định số 09/2022/NĐ-CP ngày 12 tháng 01 năm 2022 của Chính phủ sửa đổi, bổ sung một số điều của Nghị định số 95/2020/NĐ-CP ngày 24 tháng 8 năm 2020 của Chính phủ hướng dẫn thực hiện về đấu thầu mua sắm theo Hiệp định Đối tác Toàn diện và Tiến bộ xuyên Thái Bình Dương để hướng dẫn thực hiện về đấu thầu mua sắm theo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 (Nghị định số 09/2022/NĐ-CP);</w:t>
            </w:r>
          </w:p>
        </w:tc>
        <w:tc>
          <w:p/>
          <w:p>
            <w:pPr>
              <w:spacing w:after="0" w:before="0" w:lineRule="auto" w:line="276"/>
              <w:jc w:val="left"/>
            </w:pPr>
            <w:r>
              <w:rPr>
                <w:rFonts w:ascii="Times New Roman" w:hAnsi="Times New Roman" w:cs="Times New Roman" w:eastAsia="Times New Roman"/>
                <w:b w:val="false"/>
                <w:sz w:val="26"/>
              </w:rPr>
              <w:t>12-01-2022</w:t>
            </w:r>
          </w:p>
        </w:tc>
        <w:tc>
          <w:p/>
        </w:tc>
      </w:tr>
      <w:tr>
        <w:tc>
          <w:p/>
          <w:p>
            <w:pPr>
              <w:spacing w:after="0" w:before="0" w:lineRule="auto" w:line="276"/>
              <w:jc w:val="left"/>
            </w:pPr>
            <w:r>
              <w:rPr>
                <w:rFonts w:ascii="Times New Roman" w:hAnsi="Times New Roman" w:cs="Times New Roman" w:eastAsia="Times New Roman"/>
                <w:b w:val="false"/>
                <w:sz w:val="26"/>
              </w:rPr>
              <w:t>10/2022/TT-BKHĐT</w:t>
            </w:r>
          </w:p>
        </w:tc>
        <w:tc>
          <w:p/>
          <w:p>
            <w:pPr>
              <w:spacing w:after="0" w:before="0" w:lineRule="auto" w:line="276"/>
              <w:jc w:val="left"/>
            </w:pPr>
            <w:r>
              <w:rPr>
                <w:rFonts w:ascii="Times New Roman" w:hAnsi="Times New Roman" w:cs="Times New Roman" w:eastAsia="Times New Roman"/>
                <w:b w:val="false"/>
                <w:sz w:val="26"/>
              </w:rPr>
              <w:t>Thông tư số 10/2022/TT-BKHĐT của Bộ Kế hoạch và Đầu tư: Quy định chi tiết việc cung cấp, đăng tải thông tin và lựa chọn nhà đầu tư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08/2022/TT-BKHĐT</w:t>
            </w:r>
          </w:p>
        </w:tc>
        <w:tc>
          <w:p/>
          <w:p>
            <w:pPr>
              <w:spacing w:after="0" w:before="0" w:lineRule="auto" w:line="276"/>
              <w:jc w:val="left"/>
            </w:pPr>
            <w:r>
              <w:rPr>
                <w:rFonts w:ascii="Times New Roman" w:hAnsi="Times New Roman" w:cs="Times New Roman" w:eastAsia="Times New Roman"/>
                <w:b w:val="false"/>
                <w:sz w:val="26"/>
              </w:rPr>
              <w:t>Quy định chi tiết về việc cung cấp, đăng tải thông tin về đấu thầu và lựa chọn nhà thầu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31-05-2022</w:t>
            </w:r>
          </w:p>
        </w:tc>
        <w:tc>
          <w:p/>
        </w:tc>
      </w:tr>
      <w:tr>
        <w:tc>
          <w:p/>
          <w:p>
            <w:pPr>
              <w:spacing w:after="0" w:before="0" w:lineRule="auto" w:line="276"/>
              <w:jc w:val="left"/>
            </w:pPr>
            <w:r>
              <w:rPr>
                <w:rFonts w:ascii="Times New Roman" w:hAnsi="Times New Roman" w:cs="Times New Roman" w:eastAsia="Times New Roman"/>
                <w:b w:val="false"/>
                <w:sz w:val="26"/>
              </w:rPr>
              <w:t>12/2022/TT-BKHĐT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mua sắm hàng hóa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15/2022/TT-BKHĐT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xây lắp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 - 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20/2022/TT-BKHĐT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dịch vụ tư vấn đối với gói thầu thuộc phạm vi điều chỉnh của Hiệp định Đối tác Toàn điện và Tiến bộ xuyên Thái Bình Dương, Hiệp định Thương mại tự do giữa Cộng hoà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30-09-2022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21/2022/TT-BKHĐT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dịch vụ phi tư vấn đối với gói thầu thuộc phạm vi điều chỉnh của Hiệp định Đối tác Toàn điện và Tiến bộ xuyên Thái Bình Dương, Hiệp định Thương mại tự do giữa Cộng hoà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tham gia, Hệ thống, mạng đấu thầu quốc gia, đối với nhà thầu, nhà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2026-05-18T11:50:54Z</dcterms:created>
  <dc:creator>Apache POI</dc:creator>
</cp:coreProperties>
</file>