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3842/QĐ-BQP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hưởng chế độ tử tuất hằng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Thân nhân của người lao động nộp hồ sơ theo quy định cho cơ quan nhân sự cấp trung đoàn và tương đương.</w:t>
      </w:r>
    </w:p>
    <w:p>
      <w:pPr>
        <w:spacing w:after="0" w:before="0" w:lineRule="auto" w:line="276"/>
        <w:jc w:val="both"/>
      </w:pPr>
      <w:r>
        <w:rPr>
          <w:rFonts w:ascii="Times New Roman" w:hAnsi="Times New Roman" w:cs="Times New Roman" w:eastAsia="Times New Roman"/>
          <w:b w:val="false"/>
          <w:sz w:val="26"/>
        </w:rPr>
        <w:t>2.	Cơ quan nhân sự cấp trung đoàn và tương đương
-	Hướng dẫn thân nhân người lao động nộp hồ sơ giải quyết hưởng chế độ tử tuất hằng tháng theo quy định; kiểm tra, đối chiếu các yếu tố về nhân thân của người lao động để đảm bảo tính thống nhất của hồ sơ trước khi nộp cho cơ quan nhân sự cấp trên.
-	Bổ sung đầy đủ quá trình đóng BHXH của người lao động vào sổ BHXH theo quy định; chủ trì phối hợp với cơ quan chức năng hoàn thiện hồ sơ gửi cơ quan nhân sự cấp trên.
-	Nhận lại hồ sơ đã được giải quyết từ cơ quan nhân sự cấp trên, giao cho thân nhân người lao động.</w:t>
      </w:r>
    </w:p>
    <w:p>
      <w:pPr>
        <w:spacing w:after="0" w:before="0" w:lineRule="auto" w:line="276"/>
        <w:jc w:val="both"/>
      </w:pPr>
      <w:r>
        <w:rPr>
          <w:rFonts w:ascii="Times New Roman" w:hAnsi="Times New Roman" w:cs="Times New Roman" w:eastAsia="Times New Roman"/>
          <w:b w:val="false"/>
          <w:sz w:val="26"/>
        </w:rPr>
        <w:t>3.	Cơ quan nhân sự cấp trên trung đoàn và tương đương
Tiếp nhận hồ sơ giải quyết hưởng chế độ tử tuất hằng tháng của người lao động do cơ quan nhân sự cấp dưới chuyển đến, kiểm tra, đối chiếu, hoàn thiện hồ sơ thuộc trách nhiệm theo hướng dẫn gửi cơ quan nhân sự trực thuộc Bộ, tổng hợp gửi BHXH Bộ Quốc phòng hồ sơ của từng người lao động; nhận lại hồ sơ đã được BHXH Bộ Quốc phòng giải quyết, bàn giao cho đơn vị thuộc quyền để giao cho thân nhân người lao động.</w:t>
      </w:r>
    </w:p>
    <w:p>
      <w:pPr>
        <w:spacing w:after="0" w:before="0" w:lineRule="auto" w:line="276"/>
        <w:jc w:val="both"/>
      </w:pPr>
      <w:r>
        <w:rPr>
          <w:rFonts w:ascii="Times New Roman" w:hAnsi="Times New Roman" w:cs="Times New Roman" w:eastAsia="Times New Roman"/>
          <w:b w:val="false"/>
          <w:sz w:val="26"/>
        </w:rPr>
        <w:t>4.	Cơ quan tài chính cấp trung đoàn và tương đương
Tiếp nhận hồ sơ hưởng các chế độ tử tuất hằng tháng của người lao động đã được BHXH Bộ Quốc phòng giải quyết do cơ quan nhân sự hoặc thân nhân người lao động chuyển đến; kiểm tra, lập danh sách chi trả đầy đủ, kịp thời.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45 ngày hoặc 90 ngày, cụ thể:
1. Trường hợp thân nhân người lao động cư trú trong một tỉnh: 45 ngày
+ Cấp trung đoàn và tương đương: 30 ngày;
+ Cấp sư đoàn và tương đương: 10 ngày;
+ Cấp đơn vị trực thuộc Bộ: 05 ngày;
2. Trường hợp thân nhân người lao động cư trú ở nhiều tỉnh thì thời gian giải quyết ở cấp trung đoàn và tương đương là 75 ngày.
3. Bảo hiểm xã hội Bộ Quốc phòng: 15 ngày
* Cách thức thực hiện:
Thân nhân của người lao động trực tiếp nộp hồ sơ theo quy định cho cơ quan nhân sự cấp trung đoàn và tương đương.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của thân nhân (Mẫu số 09A-HBQP), có chứng thực chữ ký hoặc điểm chỉ của người khai.</w:t>
            </w:r>
          </w:p>
        </w:tc>
        <w:tc>
          <w:p/>
          <w:p>
            <w:pPr>
              <w:spacing w:after="0" w:before="0" w:lineRule="auto" w:line="276"/>
              <w:jc w:val="left"/>
            </w:pPr>
            <w:r>
              <w:rPr>
                <w:rFonts w:ascii="Times New Roman" w:hAnsi="Times New Roman" w:cs="Times New Roman" w:eastAsia="Times New Roman"/>
                <w:b w:val="false"/>
                <w:sz w:val="26"/>
              </w:rPr>
              <w:t>Mẫu số 09A-HBQP.docx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xác nhận của chính quyền địa phương nơi người nuôi dưỡng hợp pháp cư trú (trường hợp thân nhân không phải là vợ hoặc chồng, con, bố mẹ đẻ, bố mẹ vợ hoặc bố mẹ chồng mà người chết khi còn sống phải chịu trách nhiệm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Trường hợp thân nhân bị suy giảm khả năng lao động: Biên bản giám định mức suy giảm khả năng lao động của Hội đồng Giám định y khoa xác nhận suy giảm khả năng lao động từ 81% trở lên (bản chính) hoặc giấy xác nhận khuyết tật mức độ đặc biệt nặng (tương đương mức suy giảm khả năng lao động từ 81%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Trường hợp chết do TNLĐ, BNN: Biên bản điều tra TNLĐ (trường hợp tai nạn giao thông được xác định là TNLĐ thì có thêm biên bản khám nghiệm hiện trường; sơ đồ hiện trường vụ tai nạn giao thông; biên bản tai nạn giao thông của cơ quan công an hoặc cơ quan điều tra hình sự Bộ Quốc phòng) hoặc bản sao bệnh án điều trị BNN.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Trường hợp người lao động còn thiếu thời gian đóng BHXH tối đa không quá 06 tháng mà thân nhân có nguyện vọng được đóng tiếp BHXH cho số tháng còn thiếu: Đơn đề nghị đóng BHXH một lần cho những tháng còn thiếu để hưởng chế độ trợ cấp tuất hằng tháng (Mẫu số 14-HBQP), có xác nhận của Thủ trưởng cơ quan, đơn vị và phiếu thu tiền đóng BHXH một lần.</w:t>
            </w:r>
          </w:p>
        </w:tc>
        <w:tc>
          <w:p/>
          <w:p>
            <w:pPr>
              <w:spacing w:after="0" w:before="0" w:lineRule="auto" w:line="276"/>
              <w:jc w:val="left"/>
            </w:pPr>
            <w:r>
              <w:rPr>
                <w:rFonts w:ascii="Times New Roman" w:hAnsi="Times New Roman" w:cs="Times New Roman" w:eastAsia="Times New Roman"/>
                <w:b w:val="false"/>
                <w:sz w:val="26"/>
              </w:rPr>
              <w:t>Mẫu số 14-HBQP.docx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nhân sự cấp trung đoàn và tương đương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nhân sự cấp trung đoàn và tương đương.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Cấp sư đoàn và tương đương, cấp đơn vị trực thuộc Bộ</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chế độ tử tuất hằng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93/2015/QH13</w:t>
            </w:r>
          </w:p>
        </w:tc>
        <w:tc>
          <w:p/>
          <w:p>
            <w:pPr>
              <w:spacing w:after="0" w:before="0" w:lineRule="auto" w:line="276"/>
              <w:jc w:val="left"/>
            </w:pPr>
            <w:r>
              <w:rPr>
                <w:rFonts w:ascii="Times New Roman" w:hAnsi="Times New Roman" w:cs="Times New Roman" w:eastAsia="Times New Roman"/>
                <w:b w:val="false"/>
                <w:sz w:val="26"/>
              </w:rPr>
              <w:t>Nghị quyết 93/2015/QH13</w:t>
            </w:r>
          </w:p>
        </w:tc>
        <w:tc>
          <w:p/>
          <w:p>
            <w:pPr>
              <w:spacing w:after="0" w:before="0" w:lineRule="auto" w:line="276"/>
              <w:jc w:val="left"/>
            </w:pPr>
            <w:r>
              <w:rPr>
                <w:rFonts w:ascii="Times New Roman" w:hAnsi="Times New Roman" w:cs="Times New Roman" w:eastAsia="Times New Roman"/>
                <w:b w:val="false"/>
                <w:sz w:val="26"/>
              </w:rPr>
              <w:t>22-06-2015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 - Quy định chi tiết một số điều của luật bảo hiểm xã hội về bảo hiểm xã hội tự nguyện</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33/2016/NĐ-CP</w:t>
            </w:r>
          </w:p>
        </w:tc>
        <w:tc>
          <w:p/>
          <w:p>
            <w:pPr>
              <w:spacing w:after="0" w:before="0" w:lineRule="auto" w:line="276"/>
              <w:jc w:val="left"/>
            </w:pPr>
            <w:r>
              <w:rPr>
                <w:rFonts w:ascii="Times New Roman" w:hAnsi="Times New Roman" w:cs="Times New Roman" w:eastAsia="Times New Roman"/>
                <w:b w:val="false"/>
                <w:sz w:val="26"/>
              </w:rPr>
              <w:t>Nghị định 33/2016/NĐ-CP-Quy định chi tiết và hướng dẫn thi hành một số điều của Luật Bảo hiểm xã hội về bảo hiểm xã hội bắt buộc đối với quân nhân, công an nhân dân và người làm công tác cơ yếu hưởng lương như đối với quân nhân</w:t>
            </w:r>
          </w:p>
        </w:tc>
        <w:tc>
          <w:p/>
          <w:p>
            <w:pPr>
              <w:spacing w:after="0" w:before="0" w:lineRule="auto" w:line="276"/>
              <w:jc w:val="left"/>
            </w:pPr>
            <w:r>
              <w:rPr>
                <w:rFonts w:ascii="Times New Roman" w:hAnsi="Times New Roman" w:cs="Times New Roman" w:eastAsia="Times New Roman"/>
                <w:b w:val="false"/>
                <w:sz w:val="26"/>
              </w:rPr>
              <w:t>10-05-2016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181/2016/TT-BQP</w:t>
            </w:r>
          </w:p>
        </w:tc>
        <w:tc>
          <w:p/>
          <w:p>
            <w:pPr>
              <w:spacing w:after="0" w:before="0" w:lineRule="auto" w:line="276"/>
              <w:jc w:val="left"/>
            </w:pPr>
            <w:r>
              <w:rPr>
                <w:rFonts w:ascii="Times New Roman" w:hAnsi="Times New Roman" w:cs="Times New Roman" w:eastAsia="Times New Roman"/>
                <w:b w:val="false"/>
                <w:sz w:val="26"/>
              </w:rPr>
              <w:t>Thông tư 181/2016/TT-BQP</w:t>
            </w:r>
          </w:p>
        </w:tc>
        <w:tc>
          <w:p/>
          <w:p>
            <w:pPr>
              <w:spacing w:after="0" w:before="0" w:lineRule="auto" w:line="276"/>
              <w:jc w:val="left"/>
            </w:pPr>
            <w:r>
              <w:rPr>
                <w:rFonts w:ascii="Times New Roman" w:hAnsi="Times New Roman" w:cs="Times New Roman" w:eastAsia="Times New Roman"/>
                <w:b w:val="false"/>
                <w:sz w:val="26"/>
              </w:rPr>
              <w:t>04-11-2016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bị chết thuộc một trong các trường hợp dưới đây thì thân nhân đủ điều kiện theo quy định tại Khoản 2 và Khoản 3 Điều 67 Luật Bảo hiểm xã hội, được hưởng trợ cấp tuất hằng tháng:
a) Đã đóng bảo hiểm xã hội bắt buộc từ đủ 15 năm trở lên;
Trường hợp người lao động còn thiếu tối đa không quá 06 tháng để đủ 15 năm đóng bảo hiểm xã hội bắt buộc mà thân nhân có nguyện vọng hưởng trợ cấp tuất hằng tháng thì được đóng tiếp một lần cho số tháng còn thiếu vào quỹ hưu trí và tử tuất với mức đóng hằng tháng bằng 22% mức tiền lương tháng đóng bảo hiểm xã hội bắt buộc của người lao động trước khi chết.
b) Chết do tai nạn lao động, bệnh nghề nghiệp hoặc chết trong thời gian Điều trị do tai nạn lao động, bệnh nghề nghiệp;
c) Đang hưởng trợ cấp tai nạn lao động, bệnh nghề nghiệp hằng tháng với mức suy giảm khả năng lao động từ 61% trở lên;
d) Đang hưởng lương hưu mà trước đó có thời gian đóng bảo hiểm xã hội bắt buộc từ đủ 15 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2026-05-21T17:08:24Z</dcterms:created>
  <dc:creator>Apache POI</dc:creator>
</cp:coreProperties>
</file>