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3339/QĐ-NHCS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trả nợ gốc của người vay bằng chuyển khoản thông qua Ban quản lý Tổ Tiết kiệm và vay vốn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vay
Đề nghị Ban quản lý Tổ TK&amp;VV thực hiện chuyển khoản để trả nợ gốc từ tài khoản tiền gửi.</w:t>
      </w:r>
    </w:p>
    <w:p>
      <w:pPr>
        <w:spacing w:after="0" w:before="0" w:lineRule="auto" w:line="276"/>
        <w:jc w:val="both"/>
      </w:pPr>
      <w:r>
        <w:rPr>
          <w:rFonts w:ascii="Times New Roman" w:hAnsi="Times New Roman" w:cs="Times New Roman" w:eastAsia="Times New Roman"/>
          <w:b w:val="false"/>
          <w:sz w:val="26"/>
        </w:rPr>
        <w:t>Bước 2: Ban quản lý Tổ TK&amp;VV
- Ghi số tiền người vay đề nghị trả lãi bằng chuyển khoản vào Bảng kê lãi phải thu - lãi thực thu - tiền gửi - thu nợ gốc từ tiền gửi (mẫu số 13/TD), yêu cầu người vay ký xác nhận số tiền đề nghị trả lãi vào Bảng kê (mẫu số 13/TD);
- Ban quản lý Tổ TK&amp;VV đến NHCSXH nơi thực hiện thủ tục đề nghị thực hiện giao dịch chuyển khoản.</w:t>
      </w:r>
    </w:p>
    <w:p>
      <w:pPr>
        <w:spacing w:after="0" w:before="0" w:lineRule="auto" w:line="276"/>
        <w:jc w:val="both"/>
      </w:pPr>
      <w:r>
        <w:rPr>
          <w:rFonts w:ascii="Times New Roman" w:hAnsi="Times New Roman" w:cs="Times New Roman" w:eastAsia="Times New Roman"/>
          <w:b w:val="false"/>
          <w:sz w:val="26"/>
        </w:rPr>
        <w:t>Bước 3: NHCSXH nơi thực hiện thủ tục:
Thực hiện giao dịch và trả lại Phiếu giao dịch của giao dịch chuyển khoản từ tiền gửi của Tổ viên Tổ TK&amp;VV để trả nợ gốc cho Ban quản lý Tổ TK&amp;VV để chuyển trả cho người vay.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với Tổ trưởng Tổ TK&amp;VV.</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Bảng kê lãi phải thu - lãi thực thu - tiền gửi - thu nợ gốc từ tiền gửi (Mẫu số 13/TD)</w:t>
            </w:r>
          </w:p>
        </w:tc>
        <w:tc>
          <w:p/>
          <w:p>
            <w:pPr>
              <w:spacing w:after="0" w:before="0" w:lineRule="auto" w:line="276"/>
              <w:jc w:val="left"/>
            </w:pPr>
            <w:r>
              <w:rPr>
                <w:rFonts w:ascii="Times New Roman" w:hAnsi="Times New Roman" w:cs="Times New Roman" w:eastAsia="Times New Roman"/>
                <w:b w:val="false"/>
                <w:sz w:val="26"/>
              </w:rPr>
              <w:t>13-TD (5319-NHCS-TDNN).xls</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tổ chức chính trị - xã hội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giao dịch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1454/HD-NHCS</w:t>
            </w:r>
          </w:p>
        </w:tc>
        <w:tc>
          <w:p/>
          <w:p>
            <w:pPr>
              <w:spacing w:after="0" w:before="0" w:lineRule="auto" w:line="276"/>
              <w:jc w:val="left"/>
            </w:pPr>
            <w:r>
              <w:rPr>
                <w:rFonts w:ascii="Times New Roman" w:hAnsi="Times New Roman" w:cs="Times New Roman" w:eastAsia="Times New Roman"/>
                <w:b w:val="false"/>
                <w:sz w:val="26"/>
              </w:rPr>
              <w:t>Văn bản số 1454/HD-NHCS</w:t>
            </w:r>
          </w:p>
        </w:tc>
        <w:tc>
          <w:p/>
          <w:p>
            <w:pPr>
              <w:spacing w:after="0" w:before="0" w:lineRule="auto" w:line="276"/>
              <w:jc w:val="left"/>
            </w:pPr>
            <w:r>
              <w:rPr>
                <w:rFonts w:ascii="Times New Roman" w:hAnsi="Times New Roman" w:cs="Times New Roman" w:eastAsia="Times New Roman"/>
                <w:b w:val="false"/>
                <w:sz w:val="26"/>
              </w:rPr>
              <w:t>20-05-2014</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4030/NHCS-TDNN</w:t>
            </w:r>
          </w:p>
        </w:tc>
        <w:tc>
          <w:p/>
          <w:p>
            <w:pPr>
              <w:spacing w:after="0" w:before="0" w:lineRule="auto" w:line="276"/>
              <w:jc w:val="left"/>
            </w:pPr>
            <w:r>
              <w:rPr>
                <w:rFonts w:ascii="Times New Roman" w:hAnsi="Times New Roman" w:cs="Times New Roman" w:eastAsia="Times New Roman"/>
                <w:b w:val="false"/>
                <w:sz w:val="26"/>
              </w:rPr>
              <w:t>Văn bản số 4030/NHCS-TDNN</w:t>
            </w:r>
          </w:p>
        </w:tc>
        <w:tc>
          <w:p/>
          <w:p>
            <w:pPr>
              <w:spacing w:after="0" w:before="0" w:lineRule="auto" w:line="276"/>
              <w:jc w:val="left"/>
            </w:pPr>
            <w:r>
              <w:rPr>
                <w:rFonts w:ascii="Times New Roman" w:hAnsi="Times New Roman" w:cs="Times New Roman" w:eastAsia="Times New Roman"/>
                <w:b w:val="false"/>
                <w:sz w:val="26"/>
              </w:rPr>
              <w:t>10-12-2014</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4198/NHCS-TDNN</w:t>
            </w:r>
          </w:p>
        </w:tc>
        <w:tc>
          <w:p/>
          <w:p>
            <w:pPr>
              <w:spacing w:after="0" w:before="0" w:lineRule="auto" w:line="276"/>
              <w:jc w:val="left"/>
            </w:pPr>
            <w:r>
              <w:rPr>
                <w:rFonts w:ascii="Times New Roman" w:hAnsi="Times New Roman" w:cs="Times New Roman" w:eastAsia="Times New Roman"/>
                <w:b w:val="false"/>
                <w:sz w:val="26"/>
              </w:rPr>
              <w:t>Văn bản số 4198/NHCS-TDNN</w:t>
            </w:r>
          </w:p>
        </w:tc>
        <w:tc>
          <w:p/>
          <w:p>
            <w:pPr>
              <w:spacing w:after="0" w:before="0" w:lineRule="auto" w:line="276"/>
              <w:jc w:val="left"/>
            </w:pPr>
            <w:r>
              <w:rPr>
                <w:rFonts w:ascii="Times New Roman" w:hAnsi="Times New Roman" w:cs="Times New Roman" w:eastAsia="Times New Roman"/>
                <w:b w:val="false"/>
                <w:sz w:val="26"/>
              </w:rPr>
              <w:t>16-12-2014</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2517/NHCSXH-KT</w:t>
            </w:r>
          </w:p>
        </w:tc>
        <w:tc>
          <w:p/>
          <w:p>
            <w:pPr>
              <w:spacing w:after="0" w:before="0" w:lineRule="auto" w:line="276"/>
              <w:jc w:val="left"/>
            </w:pPr>
            <w:r>
              <w:rPr>
                <w:rFonts w:ascii="Times New Roman" w:hAnsi="Times New Roman" w:cs="Times New Roman" w:eastAsia="Times New Roman"/>
                <w:b w:val="false"/>
                <w:sz w:val="26"/>
              </w:rPr>
              <w:t>Văn bản số 2517/NHCSXH-KT</w:t>
            </w:r>
          </w:p>
        </w:tc>
        <w:tc>
          <w:p/>
          <w:p>
            <w:pPr>
              <w:spacing w:after="0" w:before="0" w:lineRule="auto" w:line="276"/>
              <w:jc w:val="left"/>
            </w:pPr>
            <w:r>
              <w:rPr>
                <w:rFonts w:ascii="Times New Roman" w:hAnsi="Times New Roman" w:cs="Times New Roman" w:eastAsia="Times New Roman"/>
                <w:b w:val="false"/>
                <w:sz w:val="26"/>
              </w:rPr>
              <w:t>23-07-2015</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5319/NHCS-TDNN</w:t>
            </w:r>
          </w:p>
        </w:tc>
        <w:tc>
          <w:p/>
          <w:p>
            <w:pPr>
              <w:spacing w:after="0" w:before="0" w:lineRule="auto" w:line="276"/>
              <w:jc w:val="left"/>
            </w:pPr>
            <w:r>
              <w:rPr>
                <w:rFonts w:ascii="Times New Roman" w:hAnsi="Times New Roman" w:cs="Times New Roman" w:eastAsia="Times New Roman"/>
                <w:b w:val="false"/>
                <w:sz w:val="26"/>
              </w:rPr>
              <w:t>Công văn số 5319/NHCS-TDNN</w:t>
            </w:r>
          </w:p>
        </w:tc>
        <w:tc>
          <w:p/>
          <w:p>
            <w:pPr>
              <w:spacing w:after="0" w:before="0" w:lineRule="auto" w:line="276"/>
              <w:jc w:val="left"/>
            </w:pPr>
            <w:r>
              <w:rPr>
                <w:rFonts w:ascii="Times New Roman" w:hAnsi="Times New Roman" w:cs="Times New Roman" w:eastAsia="Times New Roman"/>
                <w:b w:val="false"/>
                <w:sz w:val="26"/>
              </w:rPr>
              <w:t>09-12-2016</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	78/2002/NĐ-CP</w:t>
            </w:r>
          </w:p>
        </w:tc>
        <w:tc>
          <w:p/>
          <w:p>
            <w:pPr>
              <w:spacing w:after="0" w:before="0" w:lineRule="auto" w:line="276"/>
              <w:jc w:val="left"/>
            </w:pPr>
            <w:r>
              <w:rPr>
                <w:rFonts w:ascii="Times New Roman" w:hAnsi="Times New Roman" w:cs="Times New Roman" w:eastAsia="Times New Roman"/>
                <w:b w:val="false"/>
                <w:sz w:val="26"/>
              </w:rPr>
              <w:t>Nghị định 78/2002/NĐ-CP</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Phòng Chính phủ số</w:t>
            </w:r>
          </w:p>
        </w:tc>
      </w:tr>
      <w:tr>
        <w:tc>
          <w:p/>
          <w:p>
            <w:pPr>
              <w:spacing w:after="0" w:before="0" w:lineRule="auto" w:line="276"/>
              <w:jc w:val="left"/>
            </w:pPr>
            <w:r>
              <w:rPr>
                <w:rFonts w:ascii="Times New Roman" w:hAnsi="Times New Roman" w:cs="Times New Roman" w:eastAsia="Times New Roman"/>
                <w:b w:val="false"/>
                <w:sz w:val="26"/>
              </w:rPr>
              <w:t>Thông tư 46/2014/TT-NHNN</w:t>
            </w:r>
          </w:p>
        </w:tc>
        <w:tc>
          <w:p/>
          <w:p>
            <w:pPr>
              <w:spacing w:after="0" w:before="0" w:lineRule="auto" w:line="276"/>
              <w:jc w:val="left"/>
            </w:pPr>
            <w:r>
              <w:rPr>
                <w:rFonts w:ascii="Times New Roman" w:hAnsi="Times New Roman" w:cs="Times New Roman" w:eastAsia="Times New Roman"/>
                <w:b w:val="false"/>
                <w:sz w:val="26"/>
              </w:rPr>
              <w:t>Thông tư 46/2014/TT-NHNN</w:t>
            </w:r>
          </w:p>
        </w:tc>
        <w:tc>
          <w:p/>
          <w:p>
            <w:pPr>
              <w:spacing w:after="0" w:before="0" w:lineRule="auto" w:line="276"/>
              <w:jc w:val="left"/>
            </w:pPr>
            <w:r>
              <w:rPr>
                <w:rFonts w:ascii="Times New Roman" w:hAnsi="Times New Roman" w:cs="Times New Roman" w:eastAsia="Times New Roman"/>
                <w:b w:val="false"/>
                <w:sz w:val="26"/>
              </w:rPr>
              <w:t>31-12-2014</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TK&amp;VV phải được thành lập và hoạt động theo quy định.
- Tổ TK&amp;VV phải có quy ước về việc gửi tiền của các tổ viên đã ghi trong biên bản họp tổ (mẫu số 10A/TD).
 - Mỗi khách hàng gửi tiền tại NHCSXH được mở, sử dụng một tài khoản tiền gửi không kỳ hạn. Số dư tài khoản tiền gửi còn đủ để thực hiện giao dịch.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2026-05-22T16:15:33Z</dcterms:created>
  <dc:creator>Apache POI</dc:creator>
</cp:coreProperties>
</file>