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bệnh viện thuộc Bộ Y tế, bệnh viện tư nhân hoặc thuộc các Bộ khác (trừ các bệnh viện thuộc Bộ Quốc phòng) và áp dụng đối với trường hợp khi thay đổi hình thức tổ chức, chia tách, hợp nhất,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kể từ ngày nhận đủ hồ sơ, Bộ Y tế sẽ xem xét thẩm định hồ sơ và thẩm định tại cơ sở để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Bộ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Bộ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10.500.000 Đồng</w:t>
              <w:t xml:space="preserve"> (Phí thẩm định cấp giấy phép hoạt động )</w:t>
            </w:r>
          </w:p>
        </w:tc>
        <w:tc>
          <w:p/>
          <w:p>
            <w:pPr>
              <w:spacing w:after="0" w:before="0" w:lineRule="auto" w:line="276"/>
              <w:jc w:val="left"/>
            </w:pPr>
            <w:r>
              <w:rPr>
                <w:rFonts w:ascii="Times New Roman" w:hAnsi="Times New Roman" w:cs="Times New Roman" w:eastAsia="Times New Roman"/>
                <w:b w:val="false"/>
                <w:sz w:val="26"/>
              </w:rPr>
              <w:t xml:space="preserve">Trong thời hạn 60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10.500.000 Đồng</w:t>
              <w:t xml:space="preserve"> (Phí thẩm định cấp giấy phép hoạt động )</w:t>
            </w:r>
          </w:p>
        </w:tc>
        <w:tc>
          <w:p/>
          <w:p>
            <w:pPr>
              <w:spacing w:after="0" w:before="0" w:lineRule="auto" w:line="276"/>
              <w:jc w:val="left"/>
            </w:pPr>
            <w:r>
              <w:rPr>
                <w:rFonts w:ascii="Times New Roman" w:hAnsi="Times New Roman" w:cs="Times New Roman" w:eastAsia="Times New Roman"/>
                <w:b w:val="false"/>
                <w:sz w:val="26"/>
              </w:rPr>
              <w:t xml:space="preserve">Trong thời hạn 60 ngày,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phulucIV_ND109.docx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02_Phu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w:t>
            </w:r>
          </w:p>
        </w:tc>
        <w:tc>
          <w:p/>
          <w:p>
            <w:pPr>
              <w:spacing w:after="0" w:before="0" w:lineRule="auto" w:line="276"/>
              <w:jc w:val="left"/>
            </w:pPr>
            <w:r>
              <w:rPr>
                <w:rFonts w:ascii="Times New Roman" w:hAnsi="Times New Roman" w:cs="Times New Roman" w:eastAsia="Times New Roman"/>
                <w:b w:val="false"/>
                <w:sz w:val="26"/>
              </w:rPr>
              <w:t>Mau 03 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không có phương tiện vận chuyển cấp cứu ngoài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bệnh,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bệnh viện [1]
1. Quy mô bệnh viện:
a) Bệnh viện đa khoa phải có ít nhất là 30 giường bệnh;
b) Bệnh viện chuyên khoa, bệnh viện y học cổ truyền phải có ít nhất 20 giường bệnh; riêng đối với bệnh viện chuyên khoa mắt, tâm thần phải có ít nhất là 10 giường bệnh
2.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d) Bố trí các khoa, phòng, hành lang bảo đảm hoạt động chuyên môn theo mô hình tập trung, liên hoàn, khép kín trong phạm vi khuôn viên của bệnh viện;
đ) Đối với bệnh viện đa khoa, bệnh viện chuyên khoa bảo đảm diện tích sàn xây dựng ít nhất là 50 m2/giường bệnh trở lên; chiều rộng mặt trước (mặt tiền) bệnh viện phải đạt ít nhất là 10 m;
e) Có máy phát điện dự phòng;
g) Bảo đảm các điều kiện về xử lý chất thải y tế theo quy định của pháp luật về môi trường.
3. Trang thiết bị y tế:
a) Có đủ trang thiết bị y tế phù hợp với phạm vi hoạt động chuyên môn của cơ sở;
b) Riêng cơ sở khám, điều trị bệnh nghề nghiệp ít nhất phải có bộ phận xét nghiệm sinh hóa;
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
d) Có đủ phương tiện vận chuyển cấp cứu trong và ngoài bệnh viện. Trường hợp không có phương tiện cấp cứu ngoài bệnh viện, phải có hợp đồng với cơ sở khám bệnh, chữa bệnh đã được cấp giấy phép hoạt động và có phạm vi hoạt động chuyên môn về cung cấp dịch vụ cấp cứu hỗ trợ vận chuyển người bệnh
4. Tổ chức:
a) Các khoa:
- Có ít nhất 02 trong 04 khoa nội, ngoại, sản, nhi đối với bệnh viện đa khoa hoặc một khoa lâm sàng phù hợp đối với bệnh viện chuyên khoa;
- Khoa khám bệnh: Có nơi tiếp đón người bệnh, phòng cấp cứu, lưu bệnh, phòng khám, phòng tiểu phẫu (nếu thực hiện tiểu phẫu);
- Khoa cận lâm sàng: Có ít nhất một phòng xét nghiệm và một phòng chẩn đoán hình ảnh. Riêng đối với bệnh viện chuyên khoa mắt nếu không có bộ phận chẩn đoán hình ảnh thì phải có hợp đồng hỗ trợ chuyên môn với cơ sở khám bệnh, chữa bệnh đã được cấp giấy phép hoạt động có bộ phận chẩn đoán hình ảnh;
- Khoa dược;
- Các khoa, phòng chuyên môn khác trong bệnh viện phải phù hợp với quy mô, chức năng nhiệm vụ.
b) Có các phòng, bộ phận để thực hiện các chức năng về kế hoạch tổng hợp, tổ chức nhân sự, quản lý chất lượng, điều dưỡng, tài chính kế toán và các chức năng cần thiết khác.
5. Nhân sự: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e) Số lượng người hành nghề làm việc toàn thời gian (cơ hữu) trong từng khoa phải đạt tỷ lệ ít nhất là 50% trên tổng số người hành nghề trong khoa;
g) Trưởng các khoa chuyên môn của bệnh viện phải có chứng chỉ hành nghề phù hợp với chuyên khoa đó và phải là người hành nghề cơ hữu tại  bệnh viện;
h) Trưởng khoa khác không thuộc đối tượng cấp chứng chỉ hành nghề phải có bằng tốt nghiệp đại học với chuyên ngành phù hợp với công việc được giao và phải là người hành nghề cơ hữu tại bệnh viện.
6. Phạm vi hoạt động chuyên môn:
Thực hiện các kỹ thuật chuyên môn theo danh mục được Bộ trưởng Bộ Y tế phê duyệt.
[1] Thay đổi điều kiện cấp giấy phép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2026-05-18T17:35:13Z</dcterms:created>
  <dc:creator>Apache POI</dc:creator>
</cp:coreProperties>
</file>