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trả lãi trực tiếp bằng chuyển khoản của người vay là tổ viên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Nộp Sổ vay vốn do người vay lưu giữ và đề nghị NHCSXH nơi thực hiện thủ tục chuyển khoản tiền gửi để trả nợ, trả lãi.</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giao dịch cho người vay và chuyển trả Sổ vay vốn, Phiếu giao dịch cho người vay.
- Trường hợp người vay trả gốc: ghi số tiền người vay trả vào Sổ vay vốn người vay lưu giữ và trả cùng với Phiếu giao dịch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người vay.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vay vốn người vay lưu giữ: 01 bản</w:t>
            </w:r>
          </w:p>
        </w:tc>
        <w:tc>
          <w:p/>
          <w:p>
            <w:pPr>
              <w:spacing w:after="0" w:before="0" w:lineRule="auto" w:line="276"/>
              <w:jc w:val="left"/>
            </w:pPr>
            <w:r>
              <w:rPr>
                <w:rFonts w:ascii="Times New Roman" w:hAnsi="Times New Roman" w:cs="Times New Roman" w:eastAsia="Times New Roman"/>
                <w:b w:val="false"/>
                <w:sz w:val="26"/>
              </w:rPr>
              <w:t>Sổ vay vốn-VB-5589-TDNN-29.12.2017.doc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Thông tư 46/2014/TT-NHNN</w:t>
            </w:r>
          </w:p>
        </w:tc>
        <w:tc>
          <w:p/>
          <w:p>
            <w:pPr>
              <w:spacing w:after="0" w:before="0" w:lineRule="auto" w:line="276"/>
              <w:jc w:val="left"/>
            </w:pPr>
            <w:r>
              <w:rPr>
                <w:rFonts w:ascii="Times New Roman" w:hAnsi="Times New Roman" w:cs="Times New Roman" w:eastAsia="Times New Roman"/>
                <w:b w:val="false"/>
                <w:sz w:val="26"/>
              </w:rPr>
              <w:t>Thông tư 46/2014/TT-NHNN</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TK&amp;VV phải được thành lập và hoạt động theo quy định.
- Tổ TK&amp;VV phải có quy ước về việc gửi tiền của các tổ viên đã ghi trong biên bản họp tổ (mẫu số 10A/TD).
 - Mỗi khách hàng gửi tiền tại NHCSXH được mở, sử dụng một tài khoản tiền gửi không kỳ hạn. Số dư tài khoản tiền gửi còn đủ để thực hiện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2026-05-01T16:44:37Z</dcterms:created>
  <dc:creator>Apache POI</dc:creator>
</cp:coreProperties>
</file>