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1264/QĐ-BKHCN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cơ sở (đối với các dự án được UBND thành phố Hà Nội ủy quyền thẩm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 Chủ dự án chuẩn bị hồ sơ theo quy định và nộp trực tiếp tại Ban quản lý. Sau khi kiểm tra đầy đủ thành phần, nội dung hồ sơ theo quy định, Ban Quản lý ghi phiếu tiếp nhận hồ sơ đồng thời là giấy hẹn trả kết quả giải quyết (nếu hồ sơ đạt yêu cầu và được nộp trực tiếp).
Thời gian tiếp nhận và trả kết quả: Trong ngày làm việc từ thứ Hai đến thứ Sáu (buổi sáng từ 08 giờ 30 phút đến 11 giờ 30 phút, buổi chiều từ 13 giờ 00 phút đến 16 giờ 30 phút)
Bước 2: Giải quyết hồ sơ:
- Ban quản lý Khu công nghệ cao Hòa Lạc xem xét, kiểm tra hồ sơ hoặc lấy ý kiến các đơn vị liên quan (nếu cần). Trường hợp cần giải trình, bổ sung nội dung hồ sơ, Ban quản lý sẽ thông báo bằng văn bản cho tổ chức, cá nhân trong vòng 05 ngày làm việc kể từ ngày viết trên Giấy biên nhận hồ sơ. 
Bước 3: Trả kết quả giải quyết hồ sơ:
- Trả kết quả cho tổ chức, cá nhân tại Bộ phận Tiếp nhận và trả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Ban quản lý Khu Công nghệ cao Hòa Lạc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 Văn bản pháp lý: -	Quyết định phê duyệt chủ trương đầu tư xây dựng công trình (đối với dự án sử dụng vốn đầu tư công) hoặc văn bản chấp thuận chủ trương đầu tư xây dựng hoặc giấy chứng nhận đăng ký đầu tư (đối với dự án sử dụng vốn khác) (Bản sao chứng thực 1 bộ) -	Quyết định lựa chọn phương án thiết kế kiến trúc thông qua thi tuyển hoặc tuyển chọn theo quy định và phương án thiết kế được lựa chọn kèm theo (nếu có)(Bản sao chứng thực 1 bộ) - Quyết định lựa chọn nhà thầu lập dự án.(Bản sao chứng thực 1 bộ) -	Giấy phép quy hoạch, thông tin quy hoạch.(Bản sao chứng thực 1 bộ) -	Chấp thuận bản vẽ tổng mặt bằng, phương án kiến trúc và điểm đấu nối hạ tầng kỹ thuật (thoát nước mưa, thoát nước thải, cấp nước, cấp điện và thông tin liên lạc) của dự án (đối với trường hợp chưa có quy hoạch chi tiết 1/500) (Bản sao chứng thực 1 bộ) -	Quyết định phê duyệt quy hoạch chi tiết 1/500 (đối với trường hợp có quy hoạch chi tiết 1/500).(Bản sao chứng thực 1 bộ) -	Ý kiến về giải pháp phòng cháy chữa cháy của cơ quan có thẩm quyền.(Danh mục dự án được quy định tại Phụ lục IV Nghị định 79/2014/NĐ-CP ngày 31/7/2014 của Chính phủ)(Bản sao chứng thực 1 bộ) -	Văn bản thẩm định Báo cáo đánh giá tác động môi trường do cơ quan chuyên môn cấp. (Danh mục dự án phải thực hiện đánh giá tác động môi trường quy định tại Phụ lục II Nghị định 18/2015/NĐ-CP) hoặc Bản xác nhận đăng ký kế hoạch bảo vệ môi trường của Sở tài nguyên môi trường Hà Nội.(Danh mục dự án phải thực hiện xác nhận đăng ký kế hoạch bảo vệ môi trường quy định tại Phụ lục 5.1 Thông tư 27/2015/TT-BTNMT ngày 29/5/2015)hoặc bản xác nhậnđăng ký kế hoạch bảo vệ môi trường của UBND Huyện Thạch Thất(Danh mục dự án phải thực hiện xác nhận đăng ký kế hoạch bảo vệ môi trường tại khoản 1 Điều 18 Nghị định số 18/2015/NĐ-CP ngày 14/02/2015) (Bản sao chứng thực 1 bộ) + Tài liệu khảo sát, thiết kế, tổng mức đầu tư: a, Hồ sơ khảo sát xây dựng phục vụ lập dự án:(Bản gốc 1 bộ) -	Hồ sơ khảo sát xây dựng phục vụ lập dự án. -	Nhiệm vụ khảo sát xây dựng được phê duyệt phù hợp với bước thiết kế. -	Báo cáo kết quả khảo sát xây dựng. b, Hồ sơ thiết kế:(Bản gốc 1 bộ) -	Thuyết minh (dự án) báo cáo nghiên cứu khả thi (Bao gồm tổng mức đầu tư hoặc dự toán). -	Nhiệm vụ thiết kế xây dựng được phê duyệt phù hợp với bước thiết kế. - Thuyết minh thiết kế cơ sở: -	Bản vẽ thiết kế cơ sở:(Khổ giấy A3) -	Bản vẽ tổng mặt bằng công trình hoặc bản vẽ bình đồ phương án tuyến công trình đối với công trình xây dựng theo tuyến (tỷ lệ 1/100-1/200). -	Bản vẽ phương án kiến trúc đối với công trình có yêu cầu kiến trúc gồm: (Phối cảnh công trình, Bản vẽ các mặt đứng, Bản vẽ mặt bằng các tầng, Bản vẽ các mặt cắt điển hình) ( tỷ lệ 1/100-1/200). -	Bản vẽ phương án kết cấu chính, hệ thống kỹ thuật, hạ tầng kỹ thuật chủ yếu của công trình, kết nối với hạ tầng kỹ thuật chung của khu công nghệ cao Hoà Lạc (cấp điện, cấp nước, thoát nước mưa, thoát nước thải, viễn thông). (Quy cách hồ sơ thiết kế tuân thủ Điều 21 Nghị định 46/2015/NĐ-CP ngày 12/5/2015). + Hồ sơ năng lực của nhà thầu:(Bản sao chứng thực 1 bộ) -	Đăng ký kinh doanh, chứng chỉ năng lực hoạt động xây dựng của nhà thầu khảo sát, nhà thầu lập dự án, thiết kế cơ sở do cơ quan có thẩm quyền cấp. (Sở xây dựng hoặc Bộ xây dựng cấp) (Được đăng tải thông tin năng lực trên trang thông tin điện tử của Bộ Xây dựng hoặc Sở Xây dựng). -	Chứng chỉ hành nghề và thông tin năng lực của chủ nhiệm khảo sát xây dựng, chủ nhiệm thiết kế và các chủ trì thiết kế. - Đĩa CD (đĩa mềm)(1 đĩa CD): số hoá tất cả các nội dung của hồ sơ, bản vẽ (file số hóa bản vẽ theo định dạng AutoCAD và Acrobat; file số hóa các văn bản theo định dạng Word, Excel, Acrobat…).</w:t>
            </w:r>
          </w:p>
        </w:tc>
        <w:tc>
          <w:p/>
          <w:p>
            <w:pPr>
              <w:spacing w:after="0" w:before="0" w:lineRule="auto" w:line="276"/>
              <w:jc w:val="left"/>
            </w:pPr>
            <w:r>
              <w:rPr>
                <w:rFonts w:ascii="Times New Roman" w:hAnsi="Times New Roman" w:cs="Times New Roman" w:eastAsia="Times New Roman"/>
                <w:b w:val="false"/>
                <w:sz w:val="26"/>
              </w:rPr>
              <w:t>BM 40.1 Tờ trình thẩmđịnh thiết kế cơ sở.docx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nghệ cao Hòa Lạc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Xác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27/2015/TT-BTNMT</w:t>
            </w:r>
          </w:p>
        </w:tc>
        <w:tc>
          <w:p/>
          <w:p>
            <w:pPr>
              <w:spacing w:after="0" w:before="0" w:lineRule="auto" w:line="276"/>
              <w:jc w:val="left"/>
            </w:pPr>
            <w:r>
              <w:rPr>
                <w:rFonts w:ascii="Times New Roman" w:hAnsi="Times New Roman" w:cs="Times New Roman" w:eastAsia="Times New Roman"/>
                <w:b w:val="false"/>
                <w:sz w:val="26"/>
              </w:rPr>
              <w:t>Thông tư 27/2015/TT-BTNMT</w:t>
            </w:r>
          </w:p>
        </w:tc>
        <w:tc>
          <w:p/>
          <w:p>
            <w:pPr>
              <w:spacing w:after="0" w:before="0" w:lineRule="auto" w:line="276"/>
              <w:jc w:val="left"/>
            </w:pPr>
            <w:r>
              <w:rPr>
                <w:rFonts w:ascii="Times New Roman" w:hAnsi="Times New Roman" w:cs="Times New Roman" w:eastAsia="Times New Roman"/>
                <w:b w:val="false"/>
                <w:sz w:val="26"/>
              </w:rPr>
              <w:t>29-05-2015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18/2015/NĐ-CP</w:t>
            </w:r>
          </w:p>
        </w:tc>
        <w:tc>
          <w:p/>
          <w:p>
            <w:pPr>
              <w:spacing w:after="0" w:before="0" w:lineRule="auto" w:line="276"/>
              <w:jc w:val="left"/>
            </w:pPr>
            <w:r>
              <w:rPr>
                <w:rFonts w:ascii="Times New Roman" w:hAnsi="Times New Roman" w:cs="Times New Roman" w:eastAsia="Times New Roman"/>
                <w:b w:val="false"/>
                <w:sz w:val="26"/>
              </w:rPr>
              <w:t>Nghị định 18/2015/NĐ-CP</w:t>
            </w:r>
          </w:p>
        </w:tc>
        <w:tc>
          <w:p/>
          <w:p>
            <w:pPr>
              <w:spacing w:after="0" w:before="0" w:lineRule="auto" w:line="276"/>
              <w:jc w:val="left"/>
            </w:pPr>
            <w:r>
              <w:rPr>
                <w:rFonts w:ascii="Times New Roman" w:hAnsi="Times New Roman" w:cs="Times New Roman" w:eastAsia="Times New Roman"/>
                <w:b w:val="false"/>
                <w:sz w:val="26"/>
              </w:rPr>
              <w:t>14-02-2015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79/2014/NĐ-CP</w:t>
            </w:r>
          </w:p>
        </w:tc>
        <w:tc>
          <w:p/>
          <w:p>
            <w:pPr>
              <w:spacing w:after="0" w:before="0" w:lineRule="auto" w:line="276"/>
              <w:jc w:val="left"/>
            </w:pPr>
            <w:r>
              <w:rPr>
                <w:rFonts w:ascii="Times New Roman" w:hAnsi="Times New Roman" w:cs="Times New Roman" w:eastAsia="Times New Roman"/>
                <w:b w:val="false"/>
                <w:sz w:val="26"/>
              </w:rPr>
              <w:t>Nghị định 79/2014/NĐ-CP - Quy định chi tiết thi hành một số điều của Luật Phòng cháy và chữa cháy và Luật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31-07-2014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68/2014/QĐ-TTg</w:t>
            </w:r>
          </w:p>
        </w:tc>
        <w:tc>
          <w:p/>
          <w:p>
            <w:pPr>
              <w:spacing w:after="0" w:before="0" w:lineRule="auto" w:line="276"/>
              <w:jc w:val="left"/>
            </w:pPr>
            <w:r>
              <w:rPr>
                <w:rFonts w:ascii="Times New Roman" w:hAnsi="Times New Roman" w:cs="Times New Roman" w:eastAsia="Times New Roman"/>
                <w:b w:val="false"/>
                <w:sz w:val="26"/>
              </w:rPr>
              <w:t>Quyết định 68/2014/QĐ-TTg</w:t>
            </w:r>
          </w:p>
        </w:tc>
        <w:tc>
          <w:p/>
          <w:p>
            <w:pPr>
              <w:spacing w:after="0" w:before="0" w:lineRule="auto" w:line="276"/>
              <w:jc w:val="left"/>
            </w:pPr>
            <w:r>
              <w:rPr>
                <w:rFonts w:ascii="Times New Roman" w:hAnsi="Times New Roman" w:cs="Times New Roman" w:eastAsia="Times New Roman"/>
                <w:b w:val="false"/>
                <w:sz w:val="26"/>
              </w:rPr>
              <w:t>09-12-2014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55/2014/QH13</w:t>
            </w:r>
          </w:p>
        </w:tc>
        <w:tc>
          <w:p/>
          <w:p>
            <w:pPr>
              <w:spacing w:after="0" w:before="0" w:lineRule="auto" w:line="276"/>
              <w:jc w:val="left"/>
            </w:pPr>
            <w:r>
              <w:rPr>
                <w:rFonts w:ascii="Times New Roman" w:hAnsi="Times New Roman" w:cs="Times New Roman" w:eastAsia="Times New Roman"/>
                <w:b w:val="false"/>
                <w:sz w:val="26"/>
              </w:rPr>
              <w:t>Luật 55/2014/QH13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05-09-2015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46/2015/NĐ-CP</w:t>
            </w:r>
          </w:p>
        </w:tc>
        <w:tc>
          <w:p/>
          <w:p>
            <w:pPr>
              <w:spacing w:after="0" w:before="0" w:lineRule="auto" w:line="276"/>
              <w:jc w:val="left"/>
            </w:pPr>
            <w:r>
              <w:rPr>
                <w:rFonts w:ascii="Times New Roman" w:hAnsi="Times New Roman" w:cs="Times New Roman" w:eastAsia="Times New Roman"/>
                <w:b w:val="false"/>
                <w:sz w:val="26"/>
              </w:rPr>
              <w:t>Nghị định 46/2015/NĐ-CP</w:t>
            </w:r>
          </w:p>
        </w:tc>
        <w:tc>
          <w:p/>
          <w:p>
            <w:pPr>
              <w:spacing w:after="0" w:before="0" w:lineRule="auto" w:line="276"/>
              <w:jc w:val="left"/>
            </w:pPr>
            <w:r>
              <w:rPr>
                <w:rFonts w:ascii="Times New Roman" w:hAnsi="Times New Roman" w:cs="Times New Roman" w:eastAsia="Times New Roman"/>
                <w:b w:val="false"/>
                <w:sz w:val="26"/>
              </w:rPr>
              <w:t>12-05-2015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18/2016/TT-BXD</w:t>
            </w:r>
          </w:p>
        </w:tc>
        <w:tc>
          <w:p/>
          <w:p>
            <w:pPr>
              <w:spacing w:after="0" w:before="0" w:lineRule="auto" w:line="276"/>
              <w:jc w:val="left"/>
            </w:pPr>
            <w:r>
              <w:rPr>
                <w:rFonts w:ascii="Times New Roman" w:hAnsi="Times New Roman" w:cs="Times New Roman" w:eastAsia="Times New Roman"/>
                <w:b w:val="false"/>
                <w:sz w:val="26"/>
              </w:rPr>
              <w:t>Thông tư 18/2016/TT-BXD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17/2016/TT-BXD</w:t>
            </w:r>
          </w:p>
        </w:tc>
        <w:tc>
          <w:p/>
          <w:p>
            <w:pPr>
              <w:spacing w:after="0" w:before="0" w:lineRule="auto" w:line="276"/>
              <w:jc w:val="left"/>
            </w:pPr>
            <w:r>
              <w:rPr>
                <w:rFonts w:ascii="Times New Roman" w:hAnsi="Times New Roman" w:cs="Times New Roman" w:eastAsia="Times New Roman"/>
                <w:b w:val="false"/>
                <w:sz w:val="26"/>
              </w:rPr>
              <w:t>Thông tư 17/2016/TT-BXD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dự án quy định tại Điểm b Khoản 2 Điều 10 do Ban quản lý Khu Công nghệ cao Hòa Lạc quyết định đầu tư , Điểm b Khoản 3 Điều 10 Nghị định số 59/2015/NĐ-CP, Điểm b Khoản 5 Điều 10 Nghị định số 59/2015/NĐ-CP (kể cả dự án PPP).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2026-05-26T17:42:08Z</dcterms:created>
  <dc:creator>Apache POI</dc:creator>
</cp:coreProperties>
</file>