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ngân cho vay các chương trình tín dụng bằng chuyển khoản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vay đến trụ sở NHCSXH nơi thực hiện thủ tục theo thông báo phê duyệt mẫu 04/TD nhận được từ Tổ TK&amp;VV nơi họ cư trú hoặc nhận trực tiếp từ NHCSXH nơi thực hiện thủ tục nơi.</w:t>
      </w:r>
    </w:p>
    <w:p>
      <w:pPr>
        <w:spacing w:after="0" w:before="0" w:lineRule="auto" w:line="276"/>
        <w:jc w:val="both"/>
      </w:pPr>
      <w:r>
        <w:rPr>
          <w:rFonts w:ascii="Times New Roman" w:hAnsi="Times New Roman" w:cs="Times New Roman" w:eastAsia="Times New Roman"/>
          <w:b w:val="false"/>
          <w:sz w:val="26"/>
        </w:rPr>
        <w:t>- Bước 2: Người vay gặp cán bộ kế toán cho vay của NHCSXH nơi thực hiện thủ tục đề nghị không muốn nhận tiền vay bằng tiền mặt mà muốn nhận tiền vay bằng chuyển khoản.</w:t>
      </w:r>
    </w:p>
    <w:p>
      <w:pPr>
        <w:spacing w:after="0" w:before="0" w:lineRule="auto" w:line="276"/>
        <w:jc w:val="both"/>
      </w:pPr>
      <w:r>
        <w:rPr>
          <w:rFonts w:ascii="Times New Roman" w:hAnsi="Times New Roman" w:cs="Times New Roman" w:eastAsia="Times New Roman"/>
          <w:b w:val="false"/>
          <w:sz w:val="26"/>
        </w:rPr>
        <w:t xml:space="preserve">- Bước 3: Cán bộ kế toán NHCSXH nơi thực hiện thủ tục kiểm tra hồ sơ cho vay và chấp nhận giải ngân bằng chuyển khoản. Người vay được hướng dẫn làm thủ tục điền, ký vào chứng từ các yếu tố cần thiết. Sau khi NHCSXH nơi thực hiện thủ tục kiểm tra tính hợp pháp, hợp lệ, tính chính xác khớp đúng các thông tin của chứng từ khách hàng điền đạt yêu cầu thì tiến hành giải ngân bằng chuyển khoản cho khách hàng.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vay thực hiện trực tiếp tại trụ sở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Ủy nhiệm chi (2 liên).	</w:t>
            </w:r>
          </w:p>
        </w:tc>
        <w:tc>
          <w:p/>
          <w:p>
            <w:pPr>
              <w:spacing w:after="0" w:before="0" w:lineRule="auto" w:line="276"/>
              <w:jc w:val="left"/>
            </w:pPr>
            <w:r>
              <w:rPr>
                <w:rFonts w:ascii="Times New Roman" w:hAnsi="Times New Roman" w:cs="Times New Roman" w:eastAsia="Times New Roman"/>
                <w:b w:val="false"/>
                <w:sz w:val="26"/>
              </w:rPr>
              <w:t>07-KT (Ủy nhiệm chi).doc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 (nếu giải ngân bằng chuyển khoản).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126/NHCSXH-KT</w:t>
            </w:r>
          </w:p>
        </w:tc>
        <w:tc>
          <w:p/>
          <w:p>
            <w:pPr>
              <w:spacing w:after="0" w:before="0" w:lineRule="auto" w:line="276"/>
              <w:jc w:val="left"/>
            </w:pPr>
            <w:r>
              <w:rPr>
                <w:rFonts w:ascii="Times New Roman" w:hAnsi="Times New Roman" w:cs="Times New Roman" w:eastAsia="Times New Roman"/>
                <w:b w:val="false"/>
                <w:sz w:val="26"/>
              </w:rPr>
              <w:t>Hướng dẫn về chế độ chứng từ kế toán trong hệ thống NHCSXH.</w:t>
            </w:r>
          </w:p>
        </w:tc>
        <w:tc>
          <w:p/>
          <w:p>
            <w:pPr>
              <w:spacing w:after="0" w:before="0" w:lineRule="auto" w:line="276"/>
              <w:jc w:val="left"/>
            </w:pPr>
            <w:r>
              <w:rPr>
                <w:rFonts w:ascii="Times New Roman" w:hAnsi="Times New Roman" w:cs="Times New Roman" w:eastAsia="Times New Roman"/>
                <w:b w:val="false"/>
                <w:sz w:val="26"/>
              </w:rPr>
              <w:t>10-03-2003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2026-05-13T16:02:46Z</dcterms:created>
  <dc:creator>Apache POI</dc:creator>
</cp:coreProperties>
</file>