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chất, hàng nguy hiểm về cháy,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cơ quan Cảnh sát phòng cháy, chữa cháy và cứu nạn, cứu hộ cấp tỉnh. Trường hợp ủy quyền cho một cá nhân, đơn vị khác thực hiện thì phải có văn bản ủy quyền kèm theo. Cán bộ tiếp nhận kiểm tra tính hợp lệ và thành phần của hồ sơ:
Nếu hồ sơ hợp lệ và đủ thành phần thì viết phiếu biên nhận hồ sơ cho người nộp hồ sơ;
Nếu hồ sơ không hợp lệ và thiếu thành phần thì trả lại và hướng dẫn người nộp hồ sơ bổ sung hoàn chỉnh.
Thời gian tiếp nhận hồ sơ: Từ thứ 2 đến thứ 6 hàng tuần (trừ ngày tết, lễ).</w:t>
      </w:r>
    </w:p>
    <w:p>
      <w:pPr>
        <w:spacing w:after="0" w:before="0" w:lineRule="auto" w:line="276"/>
        <w:jc w:val="both"/>
      </w:pPr>
      <w:r>
        <w:rPr>
          <w:rFonts w:ascii="Times New Roman" w:hAnsi="Times New Roman" w:cs="Times New Roman" w:eastAsia="Times New Roman"/>
          <w:b w:val="false"/>
          <w:sz w:val="26"/>
        </w:rPr>
        <w:t>Bước 3: Cơ quan Cảnh sát phòng cháy, chữa cháy và cứu nạn, cứu hộ cấp tỉnh tổ chức kiểm tra an toàn về phòng cháy và chữa cháy đối với phương tiện vận chuyển chất, hàng nguy hiểm về cháy, nổ.</w:t>
      </w:r>
    </w:p>
    <w:p>
      <w:pPr>
        <w:spacing w:after="0" w:before="0" w:lineRule="auto" w:line="276"/>
        <w:jc w:val="both"/>
      </w:pPr>
      <w:r>
        <w:rPr>
          <w:rFonts w:ascii="Times New Roman" w:hAnsi="Times New Roman" w:cs="Times New Roman" w:eastAsia="Times New Roman"/>
          <w:b w:val="false"/>
          <w:sz w:val="26"/>
        </w:rPr>
        <w:t>Bước 4: Căn cứ theo ngày hẹn trên phiếu biên nhận hồ sơ,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10 ngày làm việc, kể từ khi nhận đủ hồ sơ hợp lệ phải tổ chức kiểm tra an toàn về phòng cháy và chữa cháy đối với phương tiện và cấp giấy phép vận chuyển chất, hàng nguy hiểm về cháy, nổ; trường hợp không cấp giấy phép phải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vận chuyển chất, hàng nguy hiểm về cháy, nổ (mẫu PC02).</w:t>
            </w:r>
          </w:p>
        </w:tc>
        <w:tc>
          <w:p/>
          <w:p>
            <w:pPr>
              <w:spacing w:after="0" w:before="0" w:lineRule="auto" w:line="276"/>
              <w:jc w:val="left"/>
            </w:pPr>
            <w:r>
              <w:rPr>
                <w:rFonts w:ascii="Times New Roman" w:hAnsi="Times New Roman" w:cs="Times New Roman" w:eastAsia="Times New Roman"/>
                <w:b w:val="false"/>
                <w:sz w:val="26"/>
              </w:rPr>
              <w:t>80-Mẫu số PC02-Đơn đề nghị cấp phép vận chuyển chất hàng nguy hiểm về cháy, nổ.doc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có chứng thực hoặc bản sao kèm theo bản chính để đối chiếu các giấy tờ sau: Giấy chứng nhận đăng ký phương tiện; giấy chứng nhận kiểm định an toàn kỹ thuật và bảo vệ môi trường (đối với phương tiện giao thông cơ giới đường bộ); giấy chứng nhận an toàn kỹ thuật và bảo vệ môi trường (đối với phương tiện thủy nội địa); giấy chứng nhận kiểm định bao bì, thùng, xi téc chứa chất, hàng nguy hiểm theo quy định của các Bộ, ngành (nếu có); hợp đồng vận chuyển chất, hàng nguy hiểm về cháy,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Cảnh sát phòng cháy và chữa cháy các tỉnh, thành phố trực thuộc Trung ương và phòng Cảnh sát phòng cháy, chữa cháy và cứu nạn, cứu hộ Công an các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chất, hàng nguy hiểm về cháy, nổ</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66/2014/TT-BCA</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Nghị định số 79/2014/NĐ-CP ngày 31/7/2014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giao thông cơ giới phải bảo đảm các điều kiện an toàn về phòng cháy và chữa cháy và các điều kiện an toàn vận chuyển chất, hàng nguy hiểm về cháy, nổ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2026-05-21T16:42:32Z</dcterms:created>
  <dc:creator>Apache POI</dc:creator>
</cp:coreProperties>
</file>