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197/QĐ-NHNN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Khen thưởng chuyên đề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Ngay sau khi kết thúc chuyên đề công tác, đơn vị gửi hồ sơ đề nghị khen thưởng đến Ngân hàng nhà nước (Vụ Thi đua - Khen thưởng). Cá nhân, tập thể khác ngoài ngành Ngân hàng có thành tích đóng góp cho ngành Ngân hàng lập hồ sơ đề nghị khen thưởng (qua Vụ Thi đua - Khen thưởng)</w:t>
      </w:r>
    </w:p>
    <w:p>
      <w:pPr>
        <w:spacing w:after="0" w:before="0" w:lineRule="auto" w:line="276"/>
        <w:jc w:val="both"/>
      </w:pPr>
      <w:r>
        <w:rPr>
          <w:rFonts w:ascii="Times New Roman" w:hAnsi="Times New Roman" w:cs="Times New Roman" w:eastAsia="Times New Roman"/>
          <w:b w:val="false"/>
          <w:sz w:val="26"/>
        </w:rPr>
        <w:t>+ Bước 2: Sau khi nhận được hồ sơ, Vụ Thi đua - Khen thưởng kiểm tra hồ sơ, thẩm định thành tích. Trường hợp cần thiết, Vụ Thi đua - Khen thưởng lấy ý kiến một số đơn vị có liên quan trước khi trình Phó Chủ tịch thứ nhất Hội đồng Thi đua - Khen thưởng Ngành cho ý kiến, sau đó trình Thống đốc quyết định.</w:t>
      </w:r>
    </w:p>
    <w:p>
      <w:pPr>
        <w:spacing w:after="0" w:before="0" w:lineRule="auto" w:line="276"/>
        <w:jc w:val="both"/>
      </w:pPr>
      <w:r>
        <w:rPr>
          <w:rFonts w:ascii="Times New Roman" w:hAnsi="Times New Roman" w:cs="Times New Roman" w:eastAsia="Times New Roman"/>
          <w:b w:val="false"/>
          <w:sz w:val="26"/>
        </w:rPr>
        <w:t>+ Bước 3: Thống đốc Ngân hàng Nhà nước quyết định khen thưởng hoặc trình cấp trên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cá nhân, tập thể được đề nghị khen thưởng (mẫu số 02 tại Thông tư số 17/2019/TT-NHNN ngày 31/10/2019);</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thành tích cá nhân, tập thể được đề nghị khen thưởng (mẫu số 20 tại Thông tư số 17/2019/TT-NHNN ngày 31/10/2019). Trường hợp đề nghị Bằng khen của Thủ tướng Chính phủ, báo cáo thành tích là 03 bản; Huân chương, báo cáo thành tích là 04 bản;</w:t>
            </w:r>
          </w:p>
        </w:tc>
        <w:tc>
          <w:p/>
          <w:p>
            <w:pPr>
              <w:spacing w:after="0" w:before="0" w:lineRule="auto" w:line="276"/>
              <w:jc w:val="left"/>
            </w:pPr>
            <w:r>
              <w:rPr>
                <w:rFonts w:ascii="Times New Roman" w:hAnsi="Times New Roman" w:cs="Times New Roman" w:eastAsia="Times New Roman"/>
                <w:b w:val="false"/>
                <w:sz w:val="26"/>
              </w:rPr>
              <w:t>Mẫu số 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Thi đua - Khen thưởng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danh hiệu Chiến sỹ thi đua ngành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17/2019/TT-NHNN</w:t>
            </w:r>
          </w:p>
        </w:tc>
        <w:tc>
          <w:p/>
          <w:p>
            <w:pPr>
              <w:spacing w:after="0" w:before="0" w:lineRule="auto" w:line="276"/>
              <w:jc w:val="left"/>
            </w:pPr>
            <w:r>
              <w:rPr>
                <w:rFonts w:ascii="Times New Roman" w:hAnsi="Times New Roman" w:cs="Times New Roman" w:eastAsia="Times New Roman"/>
                <w:b w:val="false"/>
                <w:sz w:val="26"/>
              </w:rPr>
              <w:t>Thông tư 17/2019/TT-NHNN hướng dẫn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31-10-2019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2026-05-21T16:46:04Z</dcterms:created>
  <dc:creator>Apache POI</dc:creator>
</cp:coreProperties>
</file>