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thẻ tạm trú cho người nước ngoài tại Việt Nam tại Công an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Cơ quan, tổ chức, cá nhân mời, bảo lãnh trực tiếp nộp hồ sơ đề nghị cấp thẻ tạm trú cho người nước ngoài thuộc trường hợp quy định tại khoản 2 Điều 36 của Luật Nhập cảnh, xuất cảnh, quá cảnh, cư trú của người nước ngoài tại Việt Nam nộp hồ sơ tại Cơ quan Quản lý xuất nhập cảnh Công an cấp tỉnh nơi cơ quan, tổ chức mời, bảo lãnh đặt trụ sở hoặc nơi cá nhân mời, bảo lãnh cư trú.
 Hoặc nộp hồ sơ trực tuyến qua Cổng dịch vụ công quốc gia hoặc Cổng dịch vụ công Bộ Công an và gửi bổ sung hồ sơ qua dịch vụ bưu chính công ích theo thông báo của Cục Quản lý xuất nhập cảnh trên Cổng dịch vụ công quốc gia hoặc Cổng dịch vụ công Bộ Công an (nếu có).
* Cán bộ tiếp nhận hồ sơ kiểm tra tính pháp lý và nội dung hồ sơ: 
+ Nếu hồ sơ đầy đủ, hợp lệ thì tiếp nhận hồ sơ, in và cấp giấy hẹn trả kết quả cho người nộp hồ sơ; yêu cầu nộp phí cho cán bộ thu phí. Cán bộ thu phí thu tiền, giao biên lai thu tiền cho người đề nghị cấp thẻ tạm trú hoặc thông báo trên Cổng dịch vụ công quốc gia hoặc Cổng dịch vụ công Bộ Công an đề nghị đề nghị cấp thẻ tạm trú thanh toán trực tuyến và nhận biên lai điện tử.
+ Nếu hồ sơ thiếu hoặc không hợp lệ thì cán bộ tiếp nhận hồ sơ hướng dẫn hoặc thông báo trên Cổng dịch vụ công quốc gia hoặc Cổng dịch vụ công Bộ Công an để người nộp hồ sơ hoàn chỉnh.
+ Trường hợp không đủ điều kiện thị không tiếp nhận hồ sơ, trả lời vằng văn bản hoặc thông báo trên Cổng dịch vụ công quốc gia hoặc Cổng dịch vụ công Bộ Công an và nêu rõ lý do.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trả kết quả.
+ Người đề nghị cấp thẻ tạm trú trực tiếp nhận kết quả tại Cơ quan Quản lý xuất nhập cảnh Công an cấp tỉnh. Khi đến nhận kết quả mang theo giấy hẹn trả kết quả, giấy tờ tùy thân, biên lai thu tiền để đối chiếu. Trường hợp đề nghị nhận kết quả qua dịch vụ bưu chính thì thực hiện theo hướng dẫn của cơ quan cung cấp dịch vụ bưu chính công ích.
+ Trường hợp chưa cấp thẻ tạm trú thì trả lời bằng văn bản hoặc thông báo trên Cổng dịch vụ công quốc gia hoặc Cổng dịch vụ công Bộ Công an và nêu rõ lý do.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155 USD</w:t>
              <w:t xml:space="preserve"> (Thẻ tạm trú có thời hạn từ trên 02 năm đến 05 năm: 155 USD/thẻ.)</w:t>
            </w:r>
          </w:p>
          <w:p>
            <w:pPr>
              <w:spacing w:after="0" w:before="0" w:lineRule="auto" w:line="276"/>
              <w:jc w:val="left"/>
            </w:pPr>
            <w:r>
              <w:rPr>
                <w:rFonts w:ascii="Times New Roman" w:hAnsi="Times New Roman" w:cs="Times New Roman" w:eastAsia="Times New Roman"/>
                <w:b w:val="false"/>
                <w:sz w:val="26"/>
              </w:rPr>
              <w:t>Lệ phí : 165 USD</w:t>
              <w:t xml:space="preserve"> (Thẻ tạm trú có thời hạn từ trên 05 năm đến 10 năm: 165 USD/thẻ.)</w:t>
            </w:r>
          </w:p>
          <w:p>
            <w:pPr>
              <w:spacing w:after="0" w:before="0" w:lineRule="auto" w:line="276"/>
              <w:jc w:val="left"/>
            </w:pPr>
            <w:r>
              <w:rPr>
                <w:rFonts w:ascii="Times New Roman" w:hAnsi="Times New Roman" w:cs="Times New Roman" w:eastAsia="Times New Roman"/>
                <w:b w:val="false"/>
                <w:sz w:val="26"/>
              </w:rPr>
              <w:t>Lệ phí : 145 USD</w:t>
              <w:t xml:space="preserve"> (Thẻ tạm trú có thời hạn không quá 02 năm: 145 USD/thẻ.)</w:t>
            </w:r>
          </w:p>
        </w:tc>
        <w:tc>
          <w:p/>
          <w:p>
            <w:pPr>
              <w:spacing w:after="0" w:before="0" w:lineRule="auto" w:line="276"/>
              <w:jc w:val="left"/>
            </w:pPr>
            <w:r>
              <w:rPr>
                <w:rFonts w:ascii="Times New Roman" w:hAnsi="Times New Roman" w:cs="Times New Roman" w:eastAsia="Times New Roman"/>
                <w:b w:val="false"/>
                <w:sz w:val="26"/>
              </w:rPr>
              <w:t>Nộp hồ sơ trực tiếp tại Cơ quan Quản lý xuất nhập cảnh Công an cấp tỉnh.
05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145 USD</w:t>
              <w:t xml:space="preserve"> (Thẻ tạm trú có thời hạn không quá 02 năm: 145 USD/thẻ.)</w:t>
            </w:r>
          </w:p>
          <w:p>
            <w:pPr>
              <w:spacing w:after="0" w:before="0" w:lineRule="auto" w:line="276"/>
              <w:jc w:val="left"/>
            </w:pPr>
            <w:r>
              <w:rPr>
                <w:rFonts w:ascii="Times New Roman" w:hAnsi="Times New Roman" w:cs="Times New Roman" w:eastAsia="Times New Roman"/>
                <w:b w:val="false"/>
                <w:sz w:val="26"/>
              </w:rPr>
              <w:t>Lệ phí : 155 USD</w:t>
              <w:t xml:space="preserve"> (Thẻ tạm trú có thời hạn từ trên 02 năm đến 05 năm: 155 USD/thẻ.)</w:t>
            </w:r>
          </w:p>
          <w:p>
            <w:pPr>
              <w:spacing w:after="0" w:before="0" w:lineRule="auto" w:line="276"/>
              <w:jc w:val="left"/>
            </w:pPr>
            <w:r>
              <w:rPr>
                <w:rFonts w:ascii="Times New Roman" w:hAnsi="Times New Roman" w:cs="Times New Roman" w:eastAsia="Times New Roman"/>
                <w:b w:val="false"/>
                <w:sz w:val="26"/>
              </w:rPr>
              <w:t>Lệ phí : 165 USD</w:t>
              <w:t xml:space="preserve"> (Thẻ tạm trú có thời hạn từ trên 05 năm đến 10 năm: 165 USD/thẻ.)</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05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145 USD</w:t>
              <w:t xml:space="preserve"> (Thẻ tạm trú có thời hạn không quá 02 năm: 145 USD/thẻ.)</w:t>
            </w:r>
          </w:p>
          <w:p>
            <w:pPr>
              <w:spacing w:after="0" w:before="0" w:lineRule="auto" w:line="276"/>
              <w:jc w:val="left"/>
            </w:pPr>
            <w:r>
              <w:rPr>
                <w:rFonts w:ascii="Times New Roman" w:hAnsi="Times New Roman" w:cs="Times New Roman" w:eastAsia="Times New Roman"/>
                <w:b w:val="false"/>
                <w:sz w:val="26"/>
              </w:rPr>
              <w:t>Lệ phí : 155 USD</w:t>
              <w:t xml:space="preserve"> (Thẻ tạm trú có thời hạn từ trên 02 năm đến 05 năm: 155 USD/thẻ.)</w:t>
            </w:r>
          </w:p>
          <w:p>
            <w:pPr>
              <w:spacing w:after="0" w:before="0" w:lineRule="auto" w:line="276"/>
              <w:jc w:val="left"/>
            </w:pPr>
            <w:r>
              <w:rPr>
                <w:rFonts w:ascii="Times New Roman" w:hAnsi="Times New Roman" w:cs="Times New Roman" w:eastAsia="Times New Roman"/>
                <w:b w:val="false"/>
                <w:sz w:val="26"/>
              </w:rPr>
              <w:t>Lệ phí : 165 USD</w:t>
              <w:t xml:space="preserve"> (Thẻ tạm trú có thời hạn từ trên 05 năm đến 10 năm: 165 USD/thẻ.)</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Cơ quan Quản lý xuất nhập cảnh Công an cấp tỉnh trên Cổng dịch vụ công quốc gia hoặc Cổng dịch vụ công Bộ Công an (nếu có).
05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quan, tổ chức, cá nhân làm thủ tục mời, bảo lãnh: mẫu NA6 (ban hành kèm theo Thông tư số 04/2015/TT-BCA ngày 05/01/2015 của Bộ Công an) đối với cơ quan, tổ chức; mẫu NA7 (ban hành kèm theo Thông tư số 22/2023/TT-BCA ngày 30/6/2023 của Bộ Công an) đối với cá nhân</w:t>
            </w:r>
          </w:p>
        </w:tc>
        <w:tc>
          <w:p/>
          <w:p>
            <w:pPr>
              <w:spacing w:after="0" w:before="0" w:lineRule="auto" w:line="276"/>
              <w:jc w:val="left"/>
            </w:pPr>
            <w:r>
              <w:rPr>
                <w:rFonts w:ascii="Times New Roman" w:hAnsi="Times New Roman" w:cs="Times New Roman" w:eastAsia="Times New Roman"/>
                <w:b w:val="false"/>
                <w:sz w:val="26"/>
              </w:rPr>
              <w:t>7-Mẫu NA6.doc</w:t>
            </w:r>
          </w:p>
          <w:p>
            <w:pPr>
              <w:spacing w:after="0" w:before="0" w:lineRule="auto" w:line="276"/>
              <w:jc w:val="left"/>
            </w:pPr>
            <w:r>
              <w:rPr>
                <w:rFonts w:ascii="Times New Roman" w:hAnsi="Times New Roman" w:cs="Times New Roman" w:eastAsia="Times New Roman"/>
                <w:b w:val="false"/>
                <w:sz w:val="26"/>
              </w:rPr>
              <w:t>NA7.doc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đề nghị cấp thẻ tạm trú (mẫu NA8) ban hành kèm theo Thông tư số 04/2015/TT-BCA ngày 05/01/2015;</w:t>
            </w:r>
          </w:p>
        </w:tc>
        <w:tc>
          <w:p/>
          <w:p>
            <w:pPr>
              <w:spacing w:after="0" w:before="0" w:lineRule="auto" w:line="276"/>
              <w:jc w:val="left"/>
            </w:pPr>
            <w:r>
              <w:rPr>
                <w:rFonts w:ascii="Times New Roman" w:hAnsi="Times New Roman" w:cs="Times New Roman" w:eastAsia="Times New Roman"/>
                <w:b w:val="false"/>
                <w:sz w:val="26"/>
              </w:rPr>
              <w:t>NA8.pdf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thuộc diện xem xét cấp thẻ tạm trú là một trong các loại giấy tờ như: giấy phép lao động, giấy xác nhận không thuộc diện cấp giấy phép lao động hoặc các giấy tờ khác có giá trị chứng minh đủ điều kiện cấp thẻ tạm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cỡ 2x3 cm (01 ảnh dán vào tờ khai, 01 ảnh rời).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hộ chiếu phải gửi qua dịch vụ bưu chính công ích về cơ quan tiếp nhận; thành phần hồ sơ khác phải được chứng thực điện tử theo quy định, trường hợp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quản lý xuất nhập cảnh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tạm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 04/2015/TT-BCA </w:t>
            </w:r>
          </w:p>
        </w:tc>
        <w:tc>
          <w:p/>
          <w:p>
            <w:pPr>
              <w:spacing w:after="0" w:before="0" w:lineRule="auto" w:line="276"/>
              <w:jc w:val="left"/>
            </w:pPr>
            <w:r>
              <w:rPr>
                <w:rFonts w:ascii="Times New Roman" w:hAnsi="Times New Roman" w:cs="Times New Roman" w:eastAsia="Times New Roman"/>
                <w:b w:val="false"/>
                <w:sz w:val="26"/>
              </w:rPr>
              <w:t>04/2015/TT-BCA</w:t>
            </w:r>
          </w:p>
        </w:tc>
        <w:tc>
          <w:p/>
          <w:p>
            <w:pPr>
              <w:spacing w:after="0" w:before="0" w:lineRule="auto" w:line="276"/>
              <w:jc w:val="left"/>
            </w:pPr>
            <w:r>
              <w:rPr>
                <w:rFonts w:ascii="Times New Roman" w:hAnsi="Times New Roman" w:cs="Times New Roman" w:eastAsia="Times New Roman"/>
                <w:b w:val="false"/>
                <w:sz w:val="26"/>
              </w:rPr>
              <w:t>05-01-2015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 xml:space="preserve"> 31/2015/TT-BCA </w:t>
            </w:r>
          </w:p>
        </w:tc>
        <w:tc>
          <w:p/>
          <w:p>
            <w:pPr>
              <w:spacing w:after="0" w:before="0" w:lineRule="auto" w:line="276"/>
              <w:jc w:val="left"/>
            </w:pPr>
            <w:r>
              <w:rPr>
                <w:rFonts w:ascii="Times New Roman" w:hAnsi="Times New Roman" w:cs="Times New Roman" w:eastAsia="Times New Roman"/>
                <w:b w:val="false"/>
                <w:sz w:val="26"/>
              </w:rPr>
              <w:t>Thông tư 31/2015/TT-BCA</w:t>
            </w:r>
          </w:p>
        </w:tc>
        <w:tc>
          <w:p/>
          <w:p>
            <w:pPr>
              <w:spacing w:after="0" w:before="0" w:lineRule="auto" w:line="276"/>
              <w:jc w:val="left"/>
            </w:pPr>
            <w:r>
              <w:rPr>
                <w:rFonts w:ascii="Times New Roman" w:hAnsi="Times New Roman" w:cs="Times New Roman" w:eastAsia="Times New Roman"/>
                <w:b w:val="false"/>
                <w:sz w:val="26"/>
              </w:rPr>
              <w:t>06-07-2015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22/2023/TT-BCA</w:t>
            </w:r>
          </w:p>
        </w:tc>
        <w:tc>
          <w:p/>
          <w:p>
            <w:pPr>
              <w:spacing w:after="0" w:before="0" w:lineRule="auto" w:line="276"/>
              <w:jc w:val="left"/>
            </w:pPr>
            <w:r>
              <w:rPr>
                <w:rFonts w:ascii="Times New Roman" w:hAnsi="Times New Roman" w:cs="Times New Roman" w:eastAsia="Times New Roman"/>
                <w:b w:val="false"/>
                <w:sz w:val="26"/>
              </w:rPr>
              <w:t>Thông tư số 22/2023/TT-BCA</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quan, tổ chức, doanh nghiệp có trụ sở đóng tại địa phương khi đề nghị cấp thẻ tạm trú cho người nước ngoài cần phải nộp hồ sơ theo quy định tại khoản 2 Điều 16 Luật Nhập cảnh, xuất cảnh, quá cảnh, cư trú của người nước ngoài tại Việt Nam tại Cơ quan Quản lý xuất nhập cảnh Công an cấp tỉnh hồ sơ gồm:
+ Bản sao có chứng thực giấy phép hoặc quyết định của cơ quan có thẩm quyền về việc thành lập tổ chức.
+ Văn bản giới thiệu con dấy, chữ ký của người có thẩm quyền của tổ chức.
Việc nộp hồ sơ trên chỉ thực hiện một lần. Khi có thay đổi nội dung trong hồ sơ thì cơ quan, tổ chức phải có văn bản thông báo cho cơ quan quản lý xuất nhập cảnh để bổ sung hồ sơ.
* Người nước ngoài nhập cảnh có mục đích hoạt động phù hợp với quy định của pháp luật Việt Nam, và không thuộc diện chưa cho nhập cảnh, tạm hoãn xuất cảnh theo quy định tại Điều 21, Điều 28 và người nước ngoài thuộc các trường hợp được cấp thẻ tạm trú theo quy định tại Điều 36 Luật nhập cảnh, xuất cảnh, quá cảnh, cư trú của người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2026-05-23T16:14:05Z</dcterms:created>
  <dc:creator>Apache POI</dc:creator>
</cp:coreProperties>
</file>